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8"/>
        <w:rPr>
          <w:sz w:val="16"/>
          <w:szCs w:val="16"/>
        </w:rPr>
      </w:pPr>
      <w:r>
        <w:rPr>
          <w:sz w:val="16"/>
          <w:szCs w:val="1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115570</wp:posOffset>
                </wp:positionV>
                <wp:extent cx="581025" cy="685800"/>
                <wp:effectExtent l="0" t="0" r="0" b="0"/>
                <wp:wrapNone/>
                <wp:docPr id="1" name="Рисунок 2" descr="Синявино_гер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" descr="Синявино_герб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>
                          <a:grayscl/>
                        </a:blip>
                        <a:stretch/>
                      </pic:blipFill>
                      <pic:spPr bwMode="auto">
                        <a:xfrm>
                          <a:off x="0" y="0"/>
                          <a:ext cx="581025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;o:allowoverlap:true;o:allowincell:true;mso-position-horizontal-relative:text;margin-left:208.20pt;mso-position-horizontal:absolute;mso-position-vertical-relative:text;margin-top:9.10pt;mso-position-vertical:absolute;width:45.75pt;height:54.0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16"/>
          <w:szCs w:val="16"/>
        </w:rPr>
      </w:r>
    </w:p>
    <w:p>
      <w:pPr>
        <w:pStyle w:val="62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28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28"/>
        <w:jc w:val="center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АДМИНИСТРАЦИЯ </w:t>
      </w:r>
      <w:r>
        <w:rPr>
          <w:rFonts w:ascii="Times New Roman" w:hAnsi="Times New Roman" w:cs="Times New Roman"/>
          <w:b/>
        </w:rPr>
      </w:r>
    </w:p>
    <w:p>
      <w:pPr>
        <w:pStyle w:val="628"/>
        <w:jc w:val="center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СИНЯВИНСКОГО ГОРОДСКОГО ПОСЕЛЕНИЯ</w:t>
      </w:r>
      <w:r>
        <w:rPr>
          <w:rFonts w:ascii="Times New Roman" w:hAnsi="Times New Roman" w:cs="Times New Roman"/>
          <w:b/>
        </w:rPr>
      </w:r>
    </w:p>
    <w:p>
      <w:pPr>
        <w:pStyle w:val="628"/>
        <w:jc w:val="center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КИРОВСКОГО МУНИЦИПАЛЬНОГО РАЙОНА ЛЕНИНГРАДСКОЙ ОБЛАСТИ</w:t>
      </w:r>
      <w:r>
        <w:rPr>
          <w:rFonts w:ascii="Times New Roman" w:hAnsi="Times New Roman" w:cs="Times New Roman"/>
          <w:b/>
        </w:rPr>
      </w:r>
    </w:p>
    <w:p>
      <w:pPr>
        <w:pStyle w:val="628"/>
        <w:spacing w:before="0" w:after="0" w:line="240" w:lineRule="auto"/>
        <w:tabs>
          <w:tab w:val="clear" w:pos="708" w:leader="none"/>
          <w:tab w:val="left" w:pos="6045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28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 О С Т А Н О В Л Е Н И Е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28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31"/>
        <w:jc w:val="center"/>
        <w:spacing w:before="0" w:after="0" w:line="240" w:lineRule="auto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от «13» мая 2026 года № 263</w:t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r>
    </w:p>
    <w:p>
      <w:pPr>
        <w:pStyle w:val="628"/>
        <w:ind w:right="-1"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9380" w:type="dxa"/>
        <w:tblInd w:w="21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80"/>
      </w:tblGrid>
      <w:tr>
        <w:tblPrEx/>
        <w:trPr>
          <w:trHeight w:val="1370"/>
        </w:trPr>
        <w:tc>
          <w:tcPr>
            <w:shd w:val="clear" w:color="auto" w:fill="auto"/>
            <w:tcW w:w="9380" w:type="dxa"/>
            <w:textDirection w:val="lrTb"/>
            <w:noWrap w:val="false"/>
          </w:tcPr>
          <w:p>
            <w:pPr>
              <w:pStyle w:val="628"/>
              <w:jc w:val="center"/>
              <w:spacing w:before="0"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плана подготовки Синявинского городского поселения Кировского муниципального района Ленинградской области к отопительному периоду 2026-2027 гг.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pStyle w:val="628"/>
        <w:ind w:firstLine="708"/>
        <w:jc w:val="both"/>
        <w:spacing w:before="0"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</w:rPr>
        <w:t xml:space="preserve">В целях обеспечения своевременной подготовки к отопительному сезону 2026-2027 гг.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соответствии с Федеральным законом от 06.10.2003             № 131-ФЗ «Об общих принципах организации местного самоуправления в Российской Федерации», Федеральным законом от 27.07.2010 № 190-ФЗ «О теплоснабжении», Приказом </w:t>
      </w:r>
      <w:r>
        <w:rPr>
          <w:rFonts w:ascii="Times New Roman" w:hAnsi="Times New Roman" w:eastAsia="Arial" w:cs="Times New Roman"/>
          <w:sz w:val="28"/>
          <w:szCs w:val="28"/>
        </w:rPr>
        <w:t xml:space="preserve">Минэнерго России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руководствуясь Уставом Синявинского городского поселения, ПОСТАНОВЛЯЮ: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628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1.Утвердить план подготовки Синявинского городского поселения Кировского муниципального района Ленинградской области к отопительному периоду 2026-2027 гг. согласно приложению к настоящему постановлению.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628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2. </w:t>
      </w:r>
      <w:r>
        <w:rPr>
          <w:rFonts w:ascii="Times New Roman" w:hAnsi="Times New Roman" w:eastAsia="Arial" w:cs="Times New Roman"/>
          <w:sz w:val="28"/>
          <w:szCs w:val="28"/>
        </w:rPr>
        <w:t xml:space="preserve">Опубликовать настоящее постановление на официальном сайте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Синявинского городского поселения в сети Интернет.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628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Настоящее постановление вступает в силу со дня его размещения на официальном сайте.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628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4. Контроль исполнения настоящего постановления оставляю за собой.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628"/>
        <w:jc w:val="both"/>
        <w:spacing w:before="0"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628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8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    Е.В. Хоменок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8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rPr>
          <w:rFonts w:ascii="Times New Roman" w:hAnsi="Times New Roman" w:cs="Times New Roman"/>
        </w:rPr>
        <w:sectPr>
          <w:footnotePr/>
          <w:endnotePr/>
          <w:type w:val="nextPage"/>
          <w:pgSz w:w="11906" w:h="16838" w:orient="portrait"/>
          <w:pgMar w:top="568" w:right="850" w:bottom="1134" w:left="1701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/>
        </w:rPr>
        <w:t xml:space="preserve">Разослано: сектор УМИ администрации, администрация КМР ЛО, ООО «Ленжилэкслуатация», сайт. </w:t>
      </w:r>
      <w:r>
        <w:rPr>
          <w:rFonts w:ascii="Times New Roman" w:hAnsi="Times New Roman" w:cs="Times New Roman"/>
        </w:rPr>
      </w:r>
    </w:p>
    <w:p>
      <w:pPr>
        <w:pStyle w:val="628"/>
        <w:jc w:val="both"/>
        <w:spacing w:before="0" w:after="0" w:line="240" w:lineRule="auto"/>
        <w:widowControl w:val="off"/>
        <w:tabs>
          <w:tab w:val="clear" w:pos="708" w:leader="none"/>
          <w:tab w:val="left" w:pos="3792" w:leader="none"/>
          <w:tab w:val="left" w:pos="7550" w:leader="none"/>
        </w:tabs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pStyle w:val="628"/>
        <w:ind w:firstLine="709"/>
        <w:jc w:val="right"/>
        <w:spacing w:before="0" w:after="0" w:line="240" w:lineRule="auto"/>
        <w:widowControl w:val="off"/>
        <w:tabs>
          <w:tab w:val="clear" w:pos="708" w:leader="none"/>
          <w:tab w:val="left" w:pos="3792" w:leader="none"/>
          <w:tab w:val="left" w:pos="7550" w:leader="none"/>
        </w:tabs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Arial" w:cs="Times New Roman"/>
          <w:sz w:val="24"/>
          <w:szCs w:val="24"/>
        </w:rPr>
        <w:t xml:space="preserve">Приложение</w:t>
      </w:r>
      <w:r>
        <w:rPr>
          <w:rFonts w:ascii="Times New Roman" w:hAnsi="Times New Roman" w:eastAsia="Arial" w:cs="Times New Roman"/>
          <w:sz w:val="24"/>
          <w:szCs w:val="24"/>
        </w:rPr>
      </w:r>
    </w:p>
    <w:p>
      <w:pPr>
        <w:pStyle w:val="628"/>
        <w:ind w:firstLine="709"/>
        <w:jc w:val="right"/>
        <w:spacing w:before="0" w:after="0" w:line="240" w:lineRule="auto"/>
        <w:widowControl w:val="off"/>
        <w:tabs>
          <w:tab w:val="clear" w:pos="708" w:leader="none"/>
          <w:tab w:val="left" w:pos="3792" w:leader="none"/>
          <w:tab w:val="left" w:pos="7550" w:leader="none"/>
        </w:tabs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Arial" w:cs="Times New Roman"/>
          <w:sz w:val="24"/>
          <w:szCs w:val="24"/>
        </w:rPr>
        <w:t xml:space="preserve">к постановлению администрации</w:t>
      </w:r>
      <w:r>
        <w:rPr>
          <w:rFonts w:ascii="Times New Roman" w:hAnsi="Times New Roman" w:eastAsia="Arial" w:cs="Times New Roman"/>
          <w:sz w:val="24"/>
          <w:szCs w:val="24"/>
        </w:rPr>
      </w:r>
    </w:p>
    <w:p>
      <w:pPr>
        <w:pStyle w:val="628"/>
        <w:ind w:firstLine="709"/>
        <w:jc w:val="right"/>
        <w:spacing w:before="0" w:after="0" w:line="240" w:lineRule="auto"/>
        <w:widowControl w:val="off"/>
        <w:tabs>
          <w:tab w:val="clear" w:pos="708" w:leader="none"/>
          <w:tab w:val="left" w:pos="3792" w:leader="none"/>
          <w:tab w:val="left" w:pos="7550" w:leader="none"/>
        </w:tabs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Arial" w:cs="Times New Roman"/>
          <w:sz w:val="24"/>
          <w:szCs w:val="24"/>
        </w:rPr>
        <w:t xml:space="preserve">Синявинского городского поселения </w:t>
      </w:r>
      <w:r>
        <w:rPr>
          <w:rFonts w:ascii="Times New Roman" w:hAnsi="Times New Roman" w:eastAsia="Arial" w:cs="Times New Roman"/>
          <w:sz w:val="24"/>
          <w:szCs w:val="24"/>
        </w:rPr>
      </w:r>
    </w:p>
    <w:p>
      <w:pPr>
        <w:pStyle w:val="628"/>
        <w:ind w:firstLine="709"/>
        <w:jc w:val="right"/>
        <w:spacing w:before="0" w:after="0" w:line="240" w:lineRule="auto"/>
        <w:widowControl w:val="off"/>
        <w:tabs>
          <w:tab w:val="clear" w:pos="708" w:leader="none"/>
          <w:tab w:val="left" w:pos="3792" w:leader="none"/>
          <w:tab w:val="left" w:pos="7550" w:leader="none"/>
        </w:tabs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eastAsia="Arial" w:cs="Times New Roman"/>
          <w:sz w:val="24"/>
          <w:szCs w:val="24"/>
        </w:rPr>
        <w:t xml:space="preserve">от 13 мая 2026 года № 263</w:t>
      </w:r>
      <w:r>
        <w:rPr>
          <w:rFonts w:ascii="Times New Roman" w:hAnsi="Times New Roman" w:eastAsia="Arial" w:cs="Times New Roman"/>
          <w:sz w:val="28"/>
          <w:szCs w:val="28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pStyle w:val="628"/>
        <w:ind w:firstLine="709"/>
        <w:jc w:val="right"/>
        <w:spacing w:before="0" w:after="0" w:line="240" w:lineRule="auto"/>
        <w:widowControl w:val="off"/>
        <w:tabs>
          <w:tab w:val="clear" w:pos="708" w:leader="none"/>
          <w:tab w:val="left" w:pos="3792" w:leader="none"/>
          <w:tab w:val="left" w:pos="7550" w:leader="none"/>
        </w:tabs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pStyle w:val="628"/>
        <w:ind w:firstLine="709"/>
        <w:jc w:val="center"/>
        <w:spacing w:before="0" w:after="0" w:line="240" w:lineRule="auto"/>
        <w:widowControl w:val="off"/>
        <w:tabs>
          <w:tab w:val="clear" w:pos="708" w:leader="none"/>
          <w:tab w:val="left" w:pos="3792" w:leader="none"/>
          <w:tab w:val="left" w:pos="7550" w:leader="none"/>
        </w:tabs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pStyle w:val="628"/>
        <w:ind w:firstLine="709"/>
        <w:jc w:val="center"/>
        <w:spacing w:before="0" w:after="0" w:line="240" w:lineRule="auto"/>
        <w:widowControl w:val="off"/>
        <w:tabs>
          <w:tab w:val="clear" w:pos="708" w:leader="none"/>
          <w:tab w:val="left" w:pos="3792" w:leader="none"/>
          <w:tab w:val="left" w:pos="7550" w:leader="none"/>
        </w:tabs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pStyle w:val="628"/>
        <w:ind w:firstLine="709"/>
        <w:jc w:val="center"/>
        <w:spacing w:before="0" w:after="0" w:line="240" w:lineRule="auto"/>
        <w:widowControl w:val="off"/>
        <w:tabs>
          <w:tab w:val="clear" w:pos="708" w:leader="none"/>
          <w:tab w:val="left" w:pos="3792" w:leader="none"/>
          <w:tab w:val="left" w:pos="7550" w:leader="none"/>
        </w:tabs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pStyle w:val="628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28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28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28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28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28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28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28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28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28"/>
        <w:jc w:val="center"/>
        <w:spacing w:before="0" w:after="0" w:line="240" w:lineRule="auto"/>
        <w:widowControl w:val="off"/>
        <w:tabs>
          <w:tab w:val="clear" w:pos="708" w:leader="none"/>
          <w:tab w:val="left" w:pos="3792" w:leader="none"/>
          <w:tab w:val="left" w:pos="7550" w:leader="none"/>
        </w:tabs>
        <w:rPr>
          <w:rFonts w:ascii="Times New Roman" w:hAnsi="Times New Roman" w:eastAsia="Arial" w:cs="Times New Roman"/>
          <w:b/>
          <w:sz w:val="28"/>
          <w:szCs w:val="28"/>
        </w:rPr>
      </w:pPr>
      <w:r>
        <w:rPr>
          <w:rFonts w:ascii="Times New Roman" w:hAnsi="Times New Roman" w:eastAsia="Arial" w:cs="Times New Roman"/>
          <w:b/>
          <w:sz w:val="28"/>
          <w:szCs w:val="28"/>
        </w:rPr>
        <w:t xml:space="preserve">ПЛАН ПОДГОТОВКИ СИНЯВИНСКОГО ГОРОДСКОГО ПОСЕЛЕНИЯ КИРОВСКОГО МУНИЦИПАЛЬНОГО РАЙОНА ЛЕНИНГРАДСКОЙ ОБЛАСТИ</w:t>
      </w:r>
      <w:r>
        <w:rPr>
          <w:rFonts w:ascii="Times New Roman" w:hAnsi="Times New Roman" w:eastAsia="Arial" w:cs="Times New Roman"/>
          <w:b/>
          <w:sz w:val="28"/>
          <w:szCs w:val="28"/>
        </w:rPr>
      </w:r>
    </w:p>
    <w:p>
      <w:pPr>
        <w:pStyle w:val="628"/>
        <w:jc w:val="center"/>
        <w:spacing w:before="0" w:after="0" w:line="240" w:lineRule="auto"/>
        <w:widowControl w:val="off"/>
        <w:tabs>
          <w:tab w:val="clear" w:pos="708" w:leader="none"/>
          <w:tab w:val="left" w:pos="3792" w:leader="none"/>
          <w:tab w:val="left" w:pos="7550" w:leader="none"/>
        </w:tabs>
        <w:rPr>
          <w:rFonts w:ascii="Times New Roman" w:hAnsi="Times New Roman" w:eastAsia="Arial" w:cs="Times New Roman"/>
          <w:b/>
          <w:sz w:val="28"/>
          <w:szCs w:val="28"/>
        </w:rPr>
      </w:pPr>
      <w:r>
        <w:rPr>
          <w:rFonts w:ascii="Times New Roman" w:hAnsi="Times New Roman" w:eastAsia="Arial" w:cs="Times New Roman"/>
          <w:b/>
          <w:sz w:val="28"/>
          <w:szCs w:val="28"/>
        </w:rPr>
        <w:t xml:space="preserve">К ОТОПИТЕЛЬНОМУ ПЕРИОДУ 2026-2027 ГГ. </w:t>
      </w:r>
      <w:r>
        <w:rPr>
          <w:rFonts w:ascii="Times New Roman" w:hAnsi="Times New Roman" w:eastAsia="Arial" w:cs="Times New Roman"/>
          <w:b/>
          <w:sz w:val="28"/>
          <w:szCs w:val="28"/>
        </w:rPr>
      </w:r>
    </w:p>
    <w:p>
      <w:pPr>
        <w:pStyle w:val="628"/>
        <w:jc w:val="center"/>
        <w:spacing w:before="0" w:after="0" w:line="240" w:lineRule="auto"/>
        <w:widowControl w:val="off"/>
        <w:tabs>
          <w:tab w:val="clear" w:pos="708" w:leader="none"/>
          <w:tab w:val="left" w:pos="3792" w:leader="none"/>
          <w:tab w:val="left" w:pos="755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28"/>
        <w:ind w:firstLine="709"/>
        <w:jc w:val="center"/>
        <w:spacing w:before="0" w:after="0" w:line="240" w:lineRule="auto"/>
        <w:widowControl w:val="off"/>
        <w:tabs>
          <w:tab w:val="clear" w:pos="708" w:leader="none"/>
          <w:tab w:val="left" w:pos="1305" w:leader="none"/>
          <w:tab w:val="center" w:pos="668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28"/>
        <w:ind w:firstLine="709"/>
        <w:jc w:val="both"/>
        <w:spacing w:before="0" w:after="0" w:line="240" w:lineRule="auto"/>
        <w:widowControl w:val="off"/>
        <w:tabs>
          <w:tab w:val="clear" w:pos="708" w:leader="none"/>
          <w:tab w:val="left" w:pos="3792" w:leader="none"/>
          <w:tab w:val="left" w:pos="7550" w:leader="none"/>
        </w:tabs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pStyle w:val="628"/>
        <w:ind w:firstLine="709"/>
        <w:jc w:val="both"/>
        <w:spacing w:before="0" w:after="0" w:line="240" w:lineRule="auto"/>
        <w:widowControl w:val="off"/>
        <w:tabs>
          <w:tab w:val="clear" w:pos="708" w:leader="none"/>
          <w:tab w:val="left" w:pos="3792" w:leader="none"/>
          <w:tab w:val="left" w:pos="7550" w:leader="none"/>
        </w:tabs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pStyle w:val="628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28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28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28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28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28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28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28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28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28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28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28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28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28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28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28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28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sdt>
      <w:sdtPr>
        <w15:appearance w15:val="boundingBox"/>
        <w:id w:val="-17159294"/>
        <w:docPartObj>
          <w:docPartGallery w:val="Table of Contents"/>
          <w:docPartUnique w:val="true"/>
        </w:docPartObj>
        <w:rPr/>
      </w:sdtPr>
      <w:sdtContent>
        <w:p>
          <w:pPr>
            <w:pStyle w:val="628"/>
            <w:jc w:val="center"/>
            <w:keepLines/>
            <w:keepNext/>
            <w:spacing w:before="480" w:after="0"/>
            <w:rPr>
              <w:rFonts w:ascii="Times New Roman" w:hAnsi="Times New Roman" w:eastAsia="Calibri" w:cs="Times New Roman"/>
            </w:rPr>
          </w:pPr>
          <w:r>
            <w:rPr>
              <w:rFonts w:ascii="Times New Roman" w:hAnsi="Times New Roman" w:eastAsia="Calibri" w:cs="Times New Roman"/>
            </w:rPr>
          </w:r>
          <w:r>
            <w:rPr>
              <w:rFonts w:ascii="Times New Roman" w:hAnsi="Times New Roman" w:eastAsia="Calibri" w:cs="Times New Roman"/>
            </w:rPr>
          </w:r>
        </w:p>
        <w:p>
          <w:pPr>
            <w:pStyle w:val="628"/>
            <w:ind w:left="142"/>
            <w:jc w:val="center"/>
            <w:rPr>
              <w:rFonts w:ascii="Times New Roman" w:hAnsi="Times New Roman" w:eastAsia="Calibri" w:cs="Times New Roman"/>
            </w:rPr>
          </w:pPr>
          <w:r>
            <w:rPr>
              <w:rFonts w:ascii="Times New Roman" w:hAnsi="Times New Roman" w:eastAsia="Calibri" w:cs="Times New Roman"/>
            </w:rPr>
          </w:r>
          <w:r>
            <w:rPr>
              <w:rFonts w:ascii="Times New Roman" w:hAnsi="Times New Roman" w:eastAsia="Calibri" w:cs="Times New Roman"/>
            </w:rPr>
          </w:r>
        </w:p>
      </w:sdtContent>
    </w:sdt>
    <w:p>
      <w:pPr>
        <w:pStyle w:val="628"/>
        <w:numPr>
          <w:ilvl w:val="0"/>
          <w:numId w:val="4"/>
        </w:numPr>
        <w:contextualSpacing/>
        <w:jc w:val="center"/>
        <w:spacing w:before="0" w:after="0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outlineLvl w:val="0"/>
      </w:pPr>
      <w:r/>
      <w:bookmarkStart w:id="0" w:name="_Toc196385013"/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Общие сведения о теплоснабжающей и теплопотребляющих организациях </w:t>
      </w:r>
      <w:bookmarkEnd w:id="0"/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Синявинского городского поселения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</w:p>
    <w:p>
      <w:pPr>
        <w:pStyle w:val="628"/>
        <w:numPr>
          <w:ilvl w:val="0"/>
          <w:numId w:val="0"/>
        </w:numPr>
        <w:contextualSpacing/>
        <w:ind w:left="360"/>
        <w:jc w:val="center"/>
        <w:spacing w:before="0" w:after="0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/>
        <w:tabs>
          <w:tab w:val="left" w:pos="0" w:leader="none"/>
          <w:tab w:val="clear" w:pos="708" w:leader="none"/>
          <w:tab w:val="left" w:pos="993" w:leader="none"/>
          <w:tab w:val="left" w:pos="5529" w:leader="none"/>
        </w:tabs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На территории Синявинского городского поселения Кировского муниципального района Ленинградской области (далее Синявинское городское поселение) осуществляют свою деятельность:</w:t>
      </w:r>
      <w:r>
        <w:rPr>
          <w:rFonts w:ascii="Times New Roman" w:hAnsi="Times New Roman" w:eastAsia="Calibri" w:cs="Times New Roman"/>
          <w:sz w:val="26"/>
          <w:szCs w:val="26"/>
        </w:rPr>
      </w:r>
    </w:p>
    <w:p>
      <w:pPr>
        <w:pStyle w:val="628"/>
        <w:ind w:firstLine="709"/>
        <w:jc w:val="both"/>
        <w:spacing w:before="0" w:after="0"/>
        <w:tabs>
          <w:tab w:val="left" w:pos="0" w:leader="none"/>
          <w:tab w:val="clear" w:pos="708" w:leader="none"/>
          <w:tab w:val="left" w:pos="993" w:leader="none"/>
          <w:tab w:val="left" w:pos="5529" w:leader="none"/>
        </w:tabs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одна теплоснабжающая организация ООО «Ленжилэксплуатация», в ведении которой находится один источник тепловой энергии - автоматизированная газовая котельная и </w:t>
      </w:r>
      <w:r>
        <w:rPr>
          <w:rFonts w:ascii="Times New Roman" w:hAnsi="Times New Roman" w:cs="Times New Roman"/>
          <w:sz w:val="26"/>
          <w:szCs w:val="26"/>
        </w:rPr>
        <w:t xml:space="preserve">наружные тепловые сети - 5342,5 м, из них: - на балансе муниципального образования - 4527,0 м, на балансе абонентов - 815,5 м, </w:t>
      </w:r>
      <w:r>
        <w:rPr>
          <w:rFonts w:ascii="Times New Roman" w:hAnsi="Times New Roman" w:eastAsia="Calibri" w:cs="Times New Roman"/>
          <w:sz w:val="26"/>
          <w:szCs w:val="26"/>
        </w:rPr>
        <w:t xml:space="preserve">которые являются основой для транспортировки тепла к потребителям. Все эти объекты работают круглосуточно, обеспечивая население Синявинского городского поселения  теплом и ГВС.</w:t>
      </w:r>
      <w:r>
        <w:rPr>
          <w:rFonts w:ascii="Times New Roman" w:hAnsi="Times New Roman" w:eastAsia="Calibri" w:cs="Times New Roman"/>
          <w:sz w:val="26"/>
          <w:szCs w:val="26"/>
        </w:rPr>
      </w:r>
    </w:p>
    <w:p>
      <w:pPr>
        <w:pStyle w:val="628"/>
        <w:ind w:firstLine="709"/>
        <w:jc w:val="both"/>
        <w:spacing w:before="0" w:after="0"/>
        <w:tabs>
          <w:tab w:val="left" w:pos="0" w:leader="none"/>
          <w:tab w:val="clear" w:pos="708" w:leader="none"/>
          <w:tab w:val="left" w:pos="993" w:leader="none"/>
        </w:tabs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ab/>
        <w:t xml:space="preserve">Основным топливом котельной является при</w:t>
      </w:r>
      <w:r>
        <w:rPr>
          <w:rFonts w:ascii="Times New Roman" w:hAnsi="Times New Roman" w:eastAsia="Calibri" w:cs="Times New Roman"/>
          <w:sz w:val="26"/>
          <w:szCs w:val="26"/>
        </w:rPr>
        <w:t xml:space="preserve">родный газ высокого давления, резервное топливо отсутствует. Снабжение топливом производится от поселкового газопровода высокого давления через ГРП котельной, откуда газ низкого давления поступает к котлам, вне зависимости от температуры наружного воздуха.</w:t>
      </w:r>
      <w:r>
        <w:rPr>
          <w:rFonts w:ascii="Times New Roman" w:hAnsi="Times New Roman" w:eastAsia="Calibri" w:cs="Times New Roman"/>
          <w:sz w:val="26"/>
          <w:szCs w:val="26"/>
        </w:rPr>
      </w:r>
    </w:p>
    <w:p>
      <w:pPr>
        <w:pStyle w:val="628"/>
        <w:jc w:val="both"/>
        <w:spacing w:before="0" w:after="0"/>
        <w:tabs>
          <w:tab w:val="clear" w:pos="708" w:leader="none"/>
          <w:tab w:val="left" w:pos="993" w:leader="none"/>
        </w:tabs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b/>
          <w:sz w:val="26"/>
          <w:szCs w:val="26"/>
        </w:rPr>
        <w:t xml:space="preserve">Таблица 1 - Теплопотребляющие организации, которые осуществляют свою деятельность на территории  Синявинского городского поселения:</w:t>
      </w:r>
      <w:r>
        <w:rPr>
          <w:rFonts w:ascii="Times New Roman" w:hAnsi="Times New Roman" w:eastAsia="Calibri" w:cs="Times New Roman"/>
          <w:sz w:val="26"/>
          <w:szCs w:val="26"/>
        </w:rPr>
      </w:r>
    </w:p>
    <w:tbl>
      <w:tblPr>
        <w:tblStyle w:val="669"/>
        <w:tblW w:w="9747" w:type="dxa"/>
        <w:tblInd w:w="22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9"/>
        <w:gridCol w:w="3880"/>
        <w:gridCol w:w="5388"/>
      </w:tblGrid>
      <w:tr>
        <w:tblPrEx/>
        <w:trPr/>
        <w:tc>
          <w:tcPr>
            <w:tcW w:w="479" w:type="dxa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tabs>
                <w:tab w:val="clear" w:pos="708" w:leader="none"/>
                <w:tab w:val="left" w:pos="993" w:leader="none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  <w:lang w:val="ru-RU" w:eastAsia="en-US" w:bidi="ar-SA"/>
              </w:rPr>
              <w:t xml:space="preserve">№</w:t>
            </w:r>
            <w:r>
              <w:rPr>
                <w:rFonts w:ascii="Times New Roman" w:hAnsi="Times New Roman"/>
                <w:b/>
                <w:sz w:val="26"/>
                <w:szCs w:val="26"/>
              </w:rPr>
            </w:r>
          </w:p>
        </w:tc>
        <w:tc>
          <w:tcPr>
            <w:tcW w:w="3880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tabs>
                <w:tab w:val="clear" w:pos="708" w:leader="none"/>
                <w:tab w:val="left" w:pos="993" w:leader="none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  <w:lang w:val="ru-RU" w:eastAsia="en-US" w:bidi="ar-SA"/>
              </w:rPr>
              <w:t xml:space="preserve">Наименование организации</w:t>
            </w:r>
            <w:r>
              <w:rPr>
                <w:rFonts w:ascii="Times New Roman" w:hAnsi="Times New Roman"/>
                <w:b/>
                <w:sz w:val="26"/>
                <w:szCs w:val="26"/>
              </w:rPr>
            </w:r>
          </w:p>
        </w:tc>
        <w:tc>
          <w:tcPr>
            <w:tcW w:w="53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tabs>
                <w:tab w:val="clear" w:pos="708" w:leader="none"/>
                <w:tab w:val="left" w:pos="993" w:leader="none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  <w:lang w:val="ru-RU" w:eastAsia="en-US" w:bidi="ar-SA"/>
              </w:rPr>
              <w:t xml:space="preserve">Территория деятельности</w:t>
            </w:r>
            <w:r>
              <w:rPr>
                <w:rFonts w:ascii="Times New Roman" w:hAnsi="Times New Roman"/>
                <w:b/>
                <w:sz w:val="26"/>
                <w:szCs w:val="26"/>
              </w:rPr>
            </w:r>
          </w:p>
        </w:tc>
      </w:tr>
      <w:tr>
        <w:tblPrEx/>
        <w:trPr>
          <w:trHeight w:val="681"/>
        </w:trPr>
        <w:tc>
          <w:tcPr>
            <w:tcW w:w="479" w:type="dxa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tabs>
                <w:tab w:val="clear" w:pos="708" w:leader="none"/>
                <w:tab w:val="left" w:pos="993" w:leader="none"/>
              </w:tabs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ru-RU" w:bidi="ar-SA"/>
              </w:rPr>
              <w:t xml:space="preserve">1.</w:t>
            </w: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3880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tabs>
                <w:tab w:val="clear" w:pos="708" w:leader="none"/>
                <w:tab w:val="left" w:pos="993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ru-RU" w:bidi="ar-SA"/>
              </w:rPr>
              <w:t xml:space="preserve">ООО «НЕВА-ТРЕЙД»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3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lang w:val="ru-RU" w:eastAsia="en-US" w:bidi="ar-SA"/>
              </w:rPr>
              <w:t xml:space="preserve">г.п. Синявино, МКД по адресам: ул. Кравченко, д. 1,2,10,12, ул. Садовый пер. д. 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Calibri"/>
                <w:color w:val="000000"/>
                <w:sz w:val="26"/>
                <w:szCs w:val="26"/>
                <w:lang w:val="ru-RU" w:eastAsia="en-US" w:bidi="ar-SA"/>
              </w:rPr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Calibri"/>
                <w:color w:val="000000"/>
                <w:sz w:val="26"/>
                <w:szCs w:val="26"/>
                <w:lang w:val="ru-RU" w:eastAsia="en-US" w:bidi="ar-SA"/>
              </w:rPr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395"/>
        </w:trPr>
        <w:tc>
          <w:tcPr>
            <w:tcW w:w="479" w:type="dxa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ru-RU" w:bidi="ar-SA"/>
              </w:rPr>
              <w:t xml:space="preserve">2.</w:t>
            </w: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3880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ru-RU" w:bidi="ar-SA"/>
              </w:rPr>
              <w:t xml:space="preserve">ООО «Управляющая компания Ладога»</w:t>
            </w: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53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lang w:val="ru-RU" w:eastAsia="en-US" w:bidi="ar-SA"/>
              </w:rPr>
              <w:t xml:space="preserve">г.п. Синявино, МКД по адресам: ул. Кравченко, 3,4,8,9,13,18,19, Садовый пер. д. 1,3 ул. Песочная д. 11А, 12, ул. Садовая д. 1Б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315"/>
        </w:trPr>
        <w:tc>
          <w:tcPr>
            <w:tcW w:w="479" w:type="dxa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ru-RU" w:bidi="ar-SA"/>
              </w:rPr>
              <w:t xml:space="preserve">3.</w:t>
            </w: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3880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ru-RU" w:bidi="ar-SA"/>
              </w:rPr>
              <w:t xml:space="preserve">ТСЖ «Синявинское»</w:t>
            </w: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53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lang w:val="ru-RU" w:eastAsia="en-US" w:bidi="ar-SA"/>
              </w:rPr>
              <w:t xml:space="preserve">г.п. Синявино, МКД ул. Кравченко, д. 11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Calibri"/>
                <w:color w:val="000000"/>
                <w:sz w:val="26"/>
                <w:szCs w:val="26"/>
                <w:lang w:val="ru-RU" w:eastAsia="en-US" w:bidi="ar-SA"/>
              </w:rPr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315"/>
        </w:trPr>
        <w:tc>
          <w:tcPr>
            <w:tcW w:w="479" w:type="dxa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ru-RU" w:bidi="ar-SA"/>
              </w:rPr>
              <w:t xml:space="preserve">4.</w:t>
            </w: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3880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ru-RU" w:bidi="ar-SA"/>
              </w:rPr>
              <w:t xml:space="preserve">ГП Киришское ДРСУ </w:t>
            </w: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5388" w:type="dxa"/>
            <w:vAlign w:val="center"/>
            <w:textDirection w:val="lrTb"/>
            <w:noWrap w:val="false"/>
          </w:tcPr>
          <w:p>
            <w:pPr>
              <w:pStyle w:val="628"/>
              <w:ind w:left="851" w:hanging="851"/>
              <w:jc w:val="center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lang w:val="ru-RU" w:eastAsia="en-US" w:bidi="ar-SA"/>
              </w:rPr>
              <w:t xml:space="preserve">г.п. Синявино, ул. Садовая д. 34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315"/>
        </w:trPr>
        <w:tc>
          <w:tcPr>
            <w:tcW w:w="479" w:type="dxa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ru-RU" w:bidi="ar-SA"/>
              </w:rPr>
              <w:t xml:space="preserve">5.</w:t>
            </w: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3880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ru-RU" w:bidi="ar-SA"/>
              </w:rPr>
              <w:t xml:space="preserve">Общежитие (МО) </w:t>
            </w: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53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lang w:val="ru-RU" w:eastAsia="en-US" w:bidi="ar-SA"/>
              </w:rPr>
              <w:t xml:space="preserve">г.п. Синявино, ул. Садовая д. 35 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337"/>
        </w:trPr>
        <w:tc>
          <w:tcPr>
            <w:tcW w:w="479" w:type="dxa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ru-RU" w:bidi="ar-SA"/>
              </w:rPr>
              <w:t xml:space="preserve">6.</w:t>
            </w: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3880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ru-RU" w:bidi="ar-SA"/>
              </w:rPr>
              <w:t xml:space="preserve">МКУ КДЦ «Синявино» </w:t>
            </w: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53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lang w:val="ru-RU" w:eastAsia="en-US" w:bidi="ar-SA"/>
              </w:rPr>
              <w:t xml:space="preserve">г.п. Синявино, ул. Лесная, д.18А 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315"/>
        </w:trPr>
        <w:tc>
          <w:tcPr>
            <w:tcW w:w="479" w:type="dxa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ru-RU" w:bidi="ar-SA"/>
              </w:rPr>
              <w:t xml:space="preserve">7.</w:t>
            </w: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3880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ru-RU" w:bidi="ar-SA"/>
              </w:rPr>
              <w:t xml:space="preserve">ИП Комолова </w:t>
            </w: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53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lang w:val="ru-RU" w:eastAsia="en-US" w:bidi="ar-SA"/>
              </w:rPr>
              <w:t xml:space="preserve">г.п. Синявино, ул. Лесная, д. 18 блок Д 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315"/>
        </w:trPr>
        <w:tc>
          <w:tcPr>
            <w:tcW w:w="479" w:type="dxa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ru-RU" w:bidi="ar-SA"/>
              </w:rPr>
              <w:t xml:space="preserve">8.</w:t>
            </w: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3880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ru-RU" w:bidi="ar-SA"/>
              </w:rPr>
              <w:t xml:space="preserve">Жители (непосредственный способ управления) </w:t>
            </w: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53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lang w:val="ru-RU" w:eastAsia="en-US" w:bidi="ar-SA"/>
              </w:rPr>
              <w:t xml:space="preserve">г.п. Синявино, МКД ул. Садовая, д. 65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315"/>
        </w:trPr>
        <w:tc>
          <w:tcPr>
            <w:tcW w:w="479" w:type="dxa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ru-RU" w:bidi="ar-SA"/>
              </w:rPr>
              <w:t xml:space="preserve">9.</w:t>
            </w: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3880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ru-RU" w:bidi="ar-SA"/>
              </w:rPr>
              <w:t xml:space="preserve">Администрация </w:t>
            </w: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538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lang w:val="ru-RU" w:eastAsia="en-US" w:bidi="ar-SA"/>
              </w:rPr>
              <w:t xml:space="preserve">г.п. Синявино, ул. Лесная, д. 18, блок Б, 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</w:tr>
    </w:tbl>
    <w:p>
      <w:pPr>
        <w:pStyle w:val="628"/>
        <w:ind w:firstLine="709"/>
        <w:jc w:val="both"/>
        <w:spacing w:before="0" w:after="0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Объекты здравоохранения (1 здание):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-ГБУЗ «Кировская клиническая межрайонная  больница» (амбулатория) адрес: г.п. Синявино, ул. Кравченко, д. 7.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Объекты образования (3 здания):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/>
        <w:tabs>
          <w:tab w:val="clear" w:pos="708" w:leader="none"/>
          <w:tab w:val="left" w:pos="6255" w:leader="none"/>
        </w:tabs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МБУ ДО «Синявинская ДШИ» адрес: г.п. Синявино, ул. Садовая, д. 36,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/>
        <w:tabs>
          <w:tab w:val="clear" w:pos="708" w:leader="none"/>
          <w:tab w:val="left" w:pos="6255" w:leader="none"/>
        </w:tabs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МКОУ «</w:t>
      </w:r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Синявинская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 </w:t>
      </w:r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СОШ»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адрес: 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г.п. Синявино, ул. Лесная, д. 17,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/>
        <w:tabs>
          <w:tab w:val="clear" w:pos="708" w:leader="none"/>
          <w:tab w:val="left" w:pos="6255" w:leader="none"/>
        </w:tabs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Детский сад адрес: г.п. Синявино, ул. Кравченко, д. 5.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spacing w:before="0"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numPr>
          <w:ilvl w:val="0"/>
          <w:numId w:val="5"/>
        </w:numPr>
        <w:jc w:val="center"/>
        <w:keepLines/>
        <w:keepNext/>
        <w:spacing w:before="480" w:after="0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outlineLvl w:val="0"/>
      </w:pPr>
      <w:r/>
      <w:bookmarkStart w:id="1" w:name="_Toc196385014"/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Анализ прохождения отопительных периодов 2023-2024, 2024-2025, 2025-2026 годов</w:t>
      </w:r>
      <w:bookmarkEnd w:id="1"/>
      <w:r/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r>
    </w:p>
    <w:p>
      <w:pPr>
        <w:pStyle w:val="628"/>
        <w:ind w:firstLine="360"/>
        <w:jc w:val="both"/>
        <w:spacing w:before="0"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Отопительные периоды 2023-2026 гг. проходили в штатном режиме в соответствии с Федеральным законом от 27.07.2010 № 190-ФЗ «О теплоснабжении», </w:t>
      </w:r>
      <w:r>
        <w:rPr>
          <w:rFonts w:ascii="Times New Roman" w:hAnsi="Times New Roman" w:eastAsia="Calibri" w:cs="Times New Roman"/>
          <w:sz w:val="26"/>
          <w:szCs w:val="26"/>
        </w:rPr>
        <w:t xml:space="preserve">Правилами обеспечения готовности к отопительному периоду и Порядком проведения оценки обеспечения готовности к отопительному периоду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Таблица 2 - Погодные условия и продолжительность подачи теплоснабжения в Синявинском городском поселении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</w:p>
    <w:tbl>
      <w:tblPr>
        <w:tblStyle w:val="669"/>
        <w:tblW w:w="9747" w:type="dxa"/>
        <w:tblInd w:w="22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8"/>
        <w:gridCol w:w="2268"/>
        <w:gridCol w:w="2126"/>
        <w:gridCol w:w="2124"/>
      </w:tblGrid>
      <w:tr>
        <w:tblPrEx/>
        <w:trPr/>
        <w:tc>
          <w:tcPr>
            <w:tcW w:w="3228" w:type="dxa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val="ru-RU" w:eastAsia="en-US" w:bidi="ar-SA"/>
              </w:rPr>
              <w:t xml:space="preserve">Отопительный период</w:t>
            </w:r>
            <w:r>
              <w:rPr>
                <w:rFonts w:ascii="Times New Roman" w:hAnsi="Times New Roman" w:eastAsia="Times New Roman"/>
                <w:b/>
                <w:sz w:val="26"/>
                <w:szCs w:val="26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val="ru-RU" w:eastAsia="en-US" w:bidi="ar-SA"/>
              </w:rPr>
              <w:t xml:space="preserve">2023-2024гг.</w:t>
            </w:r>
            <w:r>
              <w:rPr>
                <w:rFonts w:ascii="Times New Roman" w:hAnsi="Times New Roman" w:eastAsia="Times New Roman"/>
                <w:b/>
                <w:sz w:val="26"/>
                <w:szCs w:val="26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val="ru-RU" w:eastAsia="en-US" w:bidi="ar-SA"/>
              </w:rPr>
              <w:t xml:space="preserve">2024-2025гг.</w:t>
            </w:r>
            <w:r>
              <w:rPr>
                <w:rFonts w:ascii="Times New Roman" w:hAnsi="Times New Roman" w:eastAsia="Times New Roman"/>
                <w:b/>
                <w:sz w:val="26"/>
                <w:szCs w:val="26"/>
              </w:rPr>
            </w:r>
          </w:p>
        </w:tc>
        <w:tc>
          <w:tcPr>
            <w:tcW w:w="2124" w:type="dxa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val="ru-RU" w:eastAsia="en-US" w:bidi="ar-SA"/>
              </w:rPr>
              <w:t xml:space="preserve">2025-2026гг.</w:t>
            </w:r>
            <w:r>
              <w:rPr>
                <w:rFonts w:ascii="Times New Roman" w:hAnsi="Times New Roman" w:eastAsia="Times New Roman"/>
                <w:b/>
                <w:sz w:val="26"/>
                <w:szCs w:val="26"/>
              </w:rPr>
            </w:r>
          </w:p>
        </w:tc>
      </w:tr>
      <w:tr>
        <w:tblPrEx/>
        <w:trPr/>
        <w:tc>
          <w:tcPr>
            <w:tcW w:w="3228" w:type="dxa"/>
            <w:textDirection w:val="lrTb"/>
            <w:noWrap w:val="false"/>
          </w:tcPr>
          <w:p>
            <w:pPr>
              <w:pStyle w:val="628"/>
              <w:jc w:val="both"/>
              <w:spacing w:before="0" w:after="0" w:line="240" w:lineRule="auto"/>
              <w:widowControl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 w:eastAsia="en-US" w:bidi="ar-SA"/>
              </w:rPr>
              <w:t xml:space="preserve">Продолжительность отопительного периода, дни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 w:eastAsia="en-US" w:bidi="ar-SA"/>
              </w:rPr>
              <w:t xml:space="preserve">223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 w:eastAsia="en-US" w:bidi="ar-SA"/>
              </w:rPr>
              <w:t xml:space="preserve">220 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  <w:tc>
          <w:tcPr>
            <w:tcW w:w="2124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 w:eastAsia="en-US" w:bidi="ar-SA"/>
              </w:rPr>
              <w:t xml:space="preserve">230 (по 13.05.2026)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3228" w:type="dxa"/>
            <w:textDirection w:val="lrTb"/>
            <w:noWrap w:val="false"/>
          </w:tcPr>
          <w:p>
            <w:pPr>
              <w:pStyle w:val="628"/>
              <w:jc w:val="both"/>
              <w:spacing w:before="0" w:after="0" w:line="240" w:lineRule="auto"/>
              <w:widowControl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 w:eastAsia="en-US" w:bidi="ar-SA"/>
              </w:rPr>
              <w:t xml:space="preserve">Средняя температура наружного воздуха отопительного периода, градус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 w:eastAsia="en-US" w:bidi="ar-SA"/>
              </w:rPr>
              <w:t xml:space="preserve">-0,5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 w:eastAsia="en-US" w:bidi="ar-SA"/>
              </w:rPr>
              <w:t xml:space="preserve">+2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  <w:tc>
          <w:tcPr>
            <w:tcW w:w="2124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 w:eastAsia="en-US" w:bidi="ar-SA"/>
              </w:rPr>
              <w:t xml:space="preserve">+0,5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</w:tr>
    </w:tbl>
    <w:p>
      <w:pPr>
        <w:pStyle w:val="62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Согласно графикам подключения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в первую очередь тепло ежегодно поступает в объекты социальной инфраструктуры (детский сад, школа, амбулатория). Запуск жилищного фонда на территории Синявинского городского поселения ежегодно проходит в плановом режиме без масштабных аварийных ситуаций.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Все внештатные ситуации, связанные с обеспечением объектов жилищного фонда и социальной сферы электроэнергией, центральным отоплением, горячим и холодным водоснабжением устраняются в нормативные сроки.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Ежегодно после завершения отопительного периода представи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телями теплоснабжающей и теплопотребляющих организаций, органами местного  самоуправления Синявинского городского поселения проводится анализ прохождения отопительного периода. В соответствии с анализом выявляются проблемные места, на которые необходимо об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ратить внимание и выделить дополнительное финансирование для обеспечения населения качественными коммунальными услугами. Данный подход позволяет снизить риски возникновения аварийных ситуаций и запланировать денежные средства на следующий финансовый год. 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За отчетный период с 2023 года по настоящее время возникло 68 аварийных ситуаций, связанных с частичным прекращением теплоснабжения потребителей на срок от 2 до 19 часов, из них: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tbl>
      <w:tblPr>
        <w:tblStyle w:val="668"/>
        <w:tblW w:w="9855" w:type="dxa"/>
        <w:tblInd w:w="22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463"/>
        <w:gridCol w:w="2465"/>
        <w:gridCol w:w="2464"/>
        <w:gridCol w:w="2462"/>
      </w:tblGrid>
      <w:tr>
        <w:tblPrEx/>
        <w:trPr/>
        <w:tc>
          <w:tcPr>
            <w:tcW w:w="2463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 w:eastAsia="ru-RU" w:bidi="ar-SA"/>
              </w:rPr>
              <w:t xml:space="preserve">2023 г.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</w:p>
        </w:tc>
        <w:tc>
          <w:tcPr>
            <w:tcW w:w="2465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 w:eastAsia="ru-RU" w:bidi="ar-SA"/>
              </w:rPr>
              <w:t xml:space="preserve">2024 г.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 w:eastAsia="ru-RU" w:bidi="ar-SA"/>
              </w:rPr>
              <w:t xml:space="preserve">2025 г.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</w:p>
        </w:tc>
        <w:tc>
          <w:tcPr>
            <w:tcW w:w="2462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  <w:widowControl/>
              <w:rPr>
                <w:rFonts w:ascii="Calibri" w:hAnsi="Calibri" w:eastAsia="Calibri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 w:eastAsia="ru-RU" w:bidi="ar-SA"/>
              </w:rPr>
              <w:t xml:space="preserve">2026 г. по н.в.</w:t>
            </w:r>
            <w:r>
              <w:rPr>
                <w:rFonts w:ascii="Calibri" w:hAnsi="Calibri" w:eastAsia="Calibri"/>
              </w:rPr>
            </w:r>
          </w:p>
        </w:tc>
      </w:tr>
      <w:tr>
        <w:tblPrEx/>
        <w:trPr/>
        <w:tc>
          <w:tcPr>
            <w:tcW w:w="2463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 w:eastAsia="ru-RU" w:bidi="ar-SA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</w:p>
        </w:tc>
        <w:tc>
          <w:tcPr>
            <w:tcW w:w="2465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 w:eastAsia="ru-RU"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  <w:widowControl/>
              <w:rPr>
                <w:rFonts w:ascii="Calibri" w:hAnsi="Calibri" w:eastAsia="Calibri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 w:eastAsia="ru-RU" w:bidi="ar-SA"/>
              </w:rPr>
              <w:t xml:space="preserve">18</w:t>
            </w:r>
            <w:r>
              <w:rPr>
                <w:rFonts w:ascii="Calibri" w:hAnsi="Calibri" w:eastAsia="Calibri"/>
              </w:rPr>
            </w:r>
          </w:p>
        </w:tc>
        <w:tc>
          <w:tcPr>
            <w:tcW w:w="2462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  <w:widowControl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ascii="Times New Roman" w:hAnsi="Times New Roman" w:eastAsia="Calibri"/>
                <w:sz w:val="26"/>
                <w:szCs w:val="26"/>
                <w:lang w:val="ru-RU" w:eastAsia="en-US" w:bidi="ar-SA"/>
              </w:rPr>
              <w:t xml:space="preserve">7</w:t>
            </w:r>
            <w:r>
              <w:rPr>
                <w:rFonts w:ascii="Times New Roman" w:hAnsi="Times New Roman" w:eastAsia="Calibri"/>
                <w:sz w:val="26"/>
                <w:szCs w:val="26"/>
              </w:rPr>
            </w:r>
          </w:p>
        </w:tc>
      </w:tr>
    </w:tbl>
    <w:p>
      <w:pPr>
        <w:pStyle w:val="628"/>
        <w:ind w:firstLine="709"/>
        <w:jc w:val="both"/>
        <w:spacing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При прохождении отопительного сезона указанных периодов на территории Синявинского городского поселения возникали отдельные инциденты, в том числе: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- в г.п. Синявино происходило частое отключение электрической энергии, что влекло остановку котельной и снижение качества услуги отопления.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Частые отключения энергоресурсов снабжающих котельную кратно снижают надежность теплоснабжения.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8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Интенсивность замены тепловых сетей ниже, чем интенсивность износа сетей, ежегодный прирост ветхих тепловых сетей составляет 7-12%.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8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Основной проблемной ситуацией теплоснабжающей организаций является прорыв труб теплоснабжения в связи с высоким износом сетей теплоснабжения Синявинского городского поселения.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Использование шовных труб имеет перспективу использования на период не более 10-15 лет, но в условиях открытых систем теплоснабжения снижается в 2 раза. 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8"/>
        <w:ind w:firstLine="709"/>
        <w:jc w:val="both"/>
        <w:spacing w:before="0" w:after="0" w:line="240" w:lineRule="auto"/>
        <w:shd w:val="clear" w:color="auto" w:fill="ffffff" w:themeFill="background1"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В 2025 году крупных аварийных ситуаций, связанных с отключением теплосноснабжения на длительный период, на территории Сиянвинского городского поселения не было. Аварии, имевшие место, преимущественно на участке № 18,  устранялись в регламентные сроки. </w:t>
      </w:r>
      <w:r>
        <w:rPr>
          <w:highlight w:val="none"/>
          <w:shd w:val="clear" w:color="auto" w:fill="auto"/>
        </w:rPr>
      </w:r>
    </w:p>
    <w:p>
      <w:pPr>
        <w:pStyle w:val="628"/>
        <w:ind w:firstLine="708"/>
        <w:jc w:val="both"/>
        <w:spacing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 целях повышения качества теплоснабжения ежегодно выделяются денежные средства для ремонта сетей теплоснабжения и улучшения качества поставляемого коммунального ресурса.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 w:line="240" w:lineRule="auto"/>
        <w:rPr>
          <w:shd w:val="clear" w:color="auto" w:fill="ffff00"/>
        </w:rPr>
      </w:pPr>
      <w:r>
        <w:rPr>
          <w:rFonts w:ascii="Times New Roman" w:hAnsi="Times New Roman" w:eastAsia="Times New Roman" w:cs="Times New Roman"/>
          <w:sz w:val="26"/>
          <w:szCs w:val="26"/>
          <w:shd w:val="clear" w:color="auto" w:fill="auto"/>
          <w:lang w:eastAsia="ru-RU"/>
        </w:rPr>
        <w:t xml:space="preserve">В случае возникновения аварийных ситуаций на внутреннем трубопроводе, проводится замена аварийных участков и производится полный осмотр на всем протяжении магистрального трубопровода.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00"/>
          <w:lang w:eastAsia="ru-RU"/>
        </w:rPr>
        <w:t xml:space="preserve"> </w:t>
      </w:r>
      <w:r>
        <w:rPr>
          <w:shd w:val="clear" w:color="auto" w:fill="ffff00"/>
        </w:rPr>
      </w:r>
    </w:p>
    <w:p>
      <w:pPr>
        <w:pStyle w:val="628"/>
        <w:ind w:firstLine="709"/>
        <w:jc w:val="both"/>
        <w:spacing w:before="0" w:after="0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В 2023 году: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- приобретен аварийный запас труб на сумму 1253890,68 - средства местного бюджета.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ind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разработана проектно-сметная документация на подключение дизельного генератора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296 631,22  - средства бюджета Синявинского городского поселения.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В 2024 году: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- приобретен аварийный запас труб на сумму 436266,25 - средства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бюджета Синявинского городского поселения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- выполнен </w:t>
      </w:r>
      <w:r>
        <w:rPr>
          <w:rFonts w:ascii="Times New Roman" w:hAnsi="Times New Roman" w:cs="Times New Roman"/>
          <w:sz w:val="26"/>
          <w:szCs w:val="26"/>
        </w:rPr>
        <w:t xml:space="preserve">ремонт теплотрассы по адресу: Ленинградская  область, Кировский район, г.п. Синявино, ул. Садовая, д. 65а на сумму 1741276,24 рублей, из них: 1741200 – средства областного бюджета, 76,24 – средства местного бюджета. 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8"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приобретен и установлен котел ст. № 3, тип ТТ100 ЭНТРОРОС № 21101-23007866, в эксплуатации с 2025 г.  – средства ООО «Ленжилэксплуатация».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8"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не состоялся аукцион на выполнение монтажных работ и подключение дизель-генератора, в связи с отсутствием заявок на участие.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8"/>
        <w:ind w:firstLine="708"/>
        <w:jc w:val="both"/>
        <w:spacing w:before="0"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В 2025 году:</w:t>
      </w: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628"/>
        <w:ind w:firstLine="708"/>
        <w:jc w:val="both"/>
        <w:spacing w:before="0" w:after="0" w:line="240" w:lineRule="auto"/>
        <w:rPr>
          <w:highlight w:val="none"/>
          <w:shd w:val="clear" w:color="auto" w:fill="auto"/>
        </w:rPr>
      </w:pPr>
      <w:r>
        <w:rPr>
          <w:rFonts w:ascii="Times New Roman" w:hAnsi="Times New Roman" w:eastAsia="Calibri" w:cs="Times New Roman"/>
          <w:sz w:val="26"/>
          <w:szCs w:val="26"/>
          <w:shd w:val="clear" w:color="auto" w:fill="auto"/>
        </w:rPr>
        <w:t xml:space="preserve">- проведен ремонт участка тепловой сети ТК7-ТК8, на котором имели место частые аварии;  </w:t>
      </w:r>
      <w:r>
        <w:rPr>
          <w:highlight w:val="none"/>
          <w:shd w:val="clear" w:color="auto" w:fill="auto"/>
        </w:rPr>
      </w:r>
    </w:p>
    <w:p>
      <w:pPr>
        <w:pStyle w:val="628"/>
        <w:ind w:firstLine="708"/>
        <w:jc w:val="both"/>
        <w:spacing w:before="0" w:after="0" w:line="240" w:lineRule="auto"/>
        <w:rPr>
          <w:highlight w:val="none"/>
          <w:shd w:val="clear" w:color="auto" w:fill="auto"/>
        </w:rPr>
      </w:pPr>
      <w:r>
        <w:rPr>
          <w:rFonts w:ascii="Times New Roman" w:hAnsi="Times New Roman" w:eastAsia="Calibri" w:cs="Times New Roman"/>
          <w:sz w:val="26"/>
          <w:szCs w:val="26"/>
          <w:shd w:val="clear" w:color="auto" w:fill="auto"/>
        </w:rPr>
        <w:t xml:space="preserve">- в газовой котельной произведена замена аварийного котла на новый котел ТЕРМОТЕХНИК ТТ100 мощностью 3500 кВт.</w:t>
      </w:r>
      <w:r>
        <w:rPr>
          <w:highlight w:val="none"/>
          <w:shd w:val="clear" w:color="auto" w:fill="auto"/>
        </w:rPr>
      </w:r>
    </w:p>
    <w:p>
      <w:pPr>
        <w:pStyle w:val="628"/>
        <w:ind w:firstLine="709"/>
        <w:jc w:val="both"/>
        <w:spacing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 результатам анализа работы системы отопления за отчётные периоды следует отметить стабильную удовлетворительную работу инженерного оборудования.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Анализ прохождения отопитель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ных периодов 2023-2026 гг. показал, что теплоснабжающей и теплопотребляющими организациями Синявинского городского поселения выполняется комплекс работ по обеспечению стабильного функционирования инженерных систем, обеспечивающих теплоснабжение населения.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ind w:firstLine="708"/>
        <w:jc w:val="both"/>
        <w:spacing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 установленные сроки проводи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лся запланированный ремонт, наладка, техническое освидетельствование, устранение аварийных ситуаций и техническое диагностирование электрического, теплотехнического оборудования, необходимого для надежного и бесперебойного снабжения теплом и ГВС населения.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51"/>
        <w:numPr>
          <w:ilvl w:val="0"/>
          <w:numId w:val="6"/>
        </w:numPr>
        <w:contextualSpacing/>
        <w:jc w:val="center"/>
        <w:spacing w:before="0" w:after="0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Планируемый ремонт инженерных сетей теплоснабжения в Синявинском городском поселении на 2026 год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</w:p>
    <w:p>
      <w:pPr>
        <w:pStyle w:val="628"/>
        <w:ind w:firstLine="360"/>
        <w:jc w:val="center"/>
        <w:spacing w:before="0" w:after="0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</w:p>
    <w:p>
      <w:pPr>
        <w:pStyle w:val="628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В рамках развития и повышения энергоэффективности систем теплоснабжения в Синявинском городском поселении на 2026 год запланированы следующие мероприятия:</w:t>
      </w:r>
      <w:r>
        <w:rPr>
          <w:rFonts w:ascii="Times New Roman" w:hAnsi="Times New Roman" w:eastAsia="Calibri" w:cs="Times New Roman"/>
          <w:sz w:val="26"/>
          <w:szCs w:val="26"/>
        </w:rPr>
      </w:r>
    </w:p>
    <w:p>
      <w:pPr>
        <w:pStyle w:val="628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- ремонт системы внутреннего электроснабжения здания котельной за счет средств Синявинского городского поселения;</w:t>
      </w:r>
      <w:r>
        <w:rPr>
          <w:rFonts w:ascii="Times New Roman" w:hAnsi="Times New Roman" w:eastAsia="Calibri" w:cs="Times New Roman"/>
          <w:sz w:val="26"/>
          <w:szCs w:val="26"/>
        </w:rPr>
      </w:r>
    </w:p>
    <w:p>
      <w:pPr>
        <w:pStyle w:val="628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- подключение дизель-генератора к котельной.  </w:t>
      </w:r>
      <w:r>
        <w:rPr>
          <w:rFonts w:ascii="Times New Roman" w:hAnsi="Times New Roman" w:eastAsia="Calibri" w:cs="Times New Roman"/>
          <w:sz w:val="26"/>
          <w:szCs w:val="26"/>
        </w:rPr>
      </w:r>
    </w:p>
    <w:p>
      <w:pPr>
        <w:pStyle w:val="628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Подключение дизель-генератора к котельной позволит избежать остановки теплоносителя в случае отключения в г.п. Синявино электроснабжения. </w:t>
      </w:r>
      <w:r>
        <w:rPr>
          <w:rFonts w:ascii="Times New Roman" w:hAnsi="Times New Roman" w:eastAsia="Calibri" w:cs="Times New Roman"/>
          <w:sz w:val="26"/>
          <w:szCs w:val="26"/>
        </w:rPr>
      </w:r>
    </w:p>
    <w:p>
      <w:pPr>
        <w:pStyle w:val="628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51"/>
        <w:numPr>
          <w:ilvl w:val="0"/>
          <w:numId w:val="7"/>
        </w:numPr>
        <w:contextualSpacing/>
        <w:jc w:val="center"/>
        <w:spacing w:before="0"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План подготовки отопительного периода:</w:t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51"/>
        <w:contextualSpacing/>
        <w:spacing w:before="0"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tbl>
      <w:tblPr>
        <w:tblW w:w="9640" w:type="dxa"/>
        <w:tblInd w:w="-92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565"/>
        <w:gridCol w:w="6103"/>
        <w:gridCol w:w="2972"/>
      </w:tblGrid>
      <w:tr>
        <w:tblPrEx/>
        <w:trPr>
          <w:trHeight w:val="1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п/п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3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мероприятий,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2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 исполнения</w:t>
            </w:r>
            <w:r/>
          </w:p>
        </w:tc>
      </w:tr>
      <w:tr>
        <w:tblPrEx/>
        <w:trPr>
          <w:trHeight w:val="1575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28"/>
              <w:jc w:val="center"/>
              <w:spacing w:before="0" w:after="2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6103" w:type="dxa"/>
            <w:textDirection w:val="lrTb"/>
            <w:noWrap w:val="false"/>
          </w:tcPr>
          <w:p>
            <w:pPr>
              <w:pStyle w:val="628"/>
              <w:jc w:val="both"/>
              <w:spacing w:before="0" w:after="2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рабочего совещания совместно с теплоснабжающими организациями для выработки единого подхода к оценке состояния коммуникаций и тепловых контуров зданий.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72" w:type="dxa"/>
            <w:textDirection w:val="lrTb"/>
            <w:noWrap w:val="false"/>
          </w:tcPr>
          <w:p>
            <w:pPr>
              <w:pStyle w:val="628"/>
              <w:jc w:val="center"/>
              <w:spacing w:before="0" w:after="20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позднее 01.06.2026</w:t>
            </w:r>
            <w:r/>
          </w:p>
        </w:tc>
      </w:tr>
      <w:tr>
        <w:tblPrEx/>
        <w:trPr>
          <w:trHeight w:val="8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3" w:type="dxa"/>
            <w:textDirection w:val="lrTb"/>
            <w:noWrap w:val="false"/>
          </w:tcPr>
          <w:p>
            <w:pPr>
              <w:pStyle w:val="628"/>
              <w:jc w:val="both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комиссии по обеспечению готовности к отопительному периоду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2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позднее 10.06.2026</w:t>
            </w:r>
            <w:r/>
          </w:p>
        </w:tc>
      </w:tr>
      <w:tr>
        <w:tblPrEx/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3" w:type="dxa"/>
            <w:textDirection w:val="lrTb"/>
            <w:noWrap w:val="false"/>
          </w:tcPr>
          <w:p>
            <w:pPr>
              <w:pStyle w:val="628"/>
              <w:jc w:val="both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программы проведения оценки обеспечения готовности к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топительному периоду, содержащей информацию о лицах, подлежащих оценке обеспечения готовности, описание прав и обязанностей членов комиссии, сроки и график проведения оценки готовности и оценочный лист для расчета индекса готовности к отопительному периоду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2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позднее 10.06.2026 </w:t>
            </w:r>
            <w:r/>
          </w:p>
        </w:tc>
      </w:tr>
      <w:tr>
        <w:tblPrEx/>
        <w:trPr>
          <w:trHeight w:val="1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3" w:type="dxa"/>
            <w:textDirection w:val="lrTb"/>
            <w:noWrap w:val="false"/>
          </w:tcPr>
          <w:p>
            <w:pPr>
              <w:pStyle w:val="628"/>
              <w:jc w:val="both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комиссией на официальном сайте в сети «Интернет» уведомления о сроках проведения оценки готовности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2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позднее чем за 20 календарных дней до дня начала оценки готовности</w:t>
            </w:r>
            <w:r/>
          </w:p>
        </w:tc>
      </w:tr>
      <w:tr>
        <w:tblPrEx/>
        <w:trPr>
          <w:trHeight w:val="1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3" w:type="dxa"/>
            <w:textDirection w:val="lrTb"/>
            <w:noWrap w:val="false"/>
          </w:tcPr>
          <w:p>
            <w:pPr>
              <w:pStyle w:val="628"/>
              <w:jc w:val="both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оценки готовности обеспечения готовности теплоснабжающих организаций, тепло сетевых организаций, потребителей тепловой энергии и управляющих организаций к отопительному периоду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2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20.10.2026</w:t>
            </w:r>
            <w:r/>
          </w:p>
        </w:tc>
      </w:tr>
      <w:tr>
        <w:tblPrEx/>
        <w:trPr>
          <w:trHeight w:val="1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3" w:type="dxa"/>
            <w:textDirection w:val="lrTb"/>
            <w:noWrap w:val="false"/>
          </w:tcPr>
          <w:p>
            <w:pPr>
              <w:pStyle w:val="628"/>
              <w:jc w:val="both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актов оценки обеспечения готовности к отопительному периоду 2026-2027 гг. для потребителей тепловой энергии.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2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позднее 10.09.2026</w:t>
            </w:r>
            <w:r/>
          </w:p>
        </w:tc>
      </w:tr>
      <w:tr>
        <w:tblPrEx/>
        <w:trPr>
          <w:trHeight w:val="1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3" w:type="dxa"/>
            <w:textDirection w:val="lrTb"/>
            <w:noWrap w:val="false"/>
          </w:tcPr>
          <w:p>
            <w:pPr>
              <w:pStyle w:val="628"/>
              <w:jc w:val="both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актов оценки обеспечения готовности к отопительному периоду 2026-2027 гг. для теплоснабжающей организации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2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позднее 25.10.2026</w:t>
            </w:r>
            <w:r/>
          </w:p>
        </w:tc>
      </w:tr>
      <w:tr>
        <w:tblPrEx/>
        <w:trPr>
          <w:trHeight w:val="1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3" w:type="dxa"/>
            <w:textDirection w:val="lrTb"/>
            <w:noWrap w:val="false"/>
          </w:tcPr>
          <w:p>
            <w:pPr>
              <w:pStyle w:val="628"/>
              <w:jc w:val="both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Выдача паспорта обеспечения готовности к отопительному периоду 2026-2027 гг. для потребителей тепловой энергии.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2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позднее 15.09.2026</w:t>
            </w:r>
            <w:r/>
          </w:p>
        </w:tc>
      </w:tr>
      <w:tr>
        <w:tblPrEx/>
        <w:trPr>
          <w:trHeight w:val="1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3" w:type="dxa"/>
            <w:textDirection w:val="lrTb"/>
            <w:noWrap w:val="false"/>
          </w:tcPr>
          <w:p>
            <w:pPr>
              <w:pStyle w:val="628"/>
              <w:jc w:val="both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Выдача паспорта обеспечения готовности к отопительному периоду 2026-2027 гг. для теплоснабжающей организации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2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позднее 01.11.2026</w:t>
            </w:r>
            <w:r/>
          </w:p>
        </w:tc>
      </w:tr>
      <w:tr>
        <w:tblPrEx/>
        <w:trPr>
          <w:trHeight w:val="1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3" w:type="dxa"/>
            <w:textDirection w:val="lrTb"/>
            <w:noWrap w:val="false"/>
          </w:tcPr>
          <w:p>
            <w:pPr>
              <w:pStyle w:val="628"/>
              <w:jc w:val="both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паспорта обеспечения готовности муниципального образования к отопительному периоду 2026-2027 гг.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2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позднее 20.11.2026</w:t>
            </w:r>
            <w:r/>
          </w:p>
        </w:tc>
      </w:tr>
      <w:tr>
        <w:tblPrEx/>
        <w:trPr>
          <w:trHeight w:val="1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3" w:type="dxa"/>
            <w:textDirection w:val="lrTb"/>
            <w:noWrap w:val="false"/>
          </w:tcPr>
          <w:p>
            <w:pPr>
              <w:pStyle w:val="628"/>
              <w:jc w:val="both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Опубликование сводной информации о результатах оценки обеспечения готовности с указанием проверяемого лица, уровня готовности и индекса готовности на официальном сайте муниципального образования в сети «Интернет»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2" w:type="dxa"/>
            <w:textDirection w:val="lrTb"/>
            <w:noWrap w:val="false"/>
          </w:tcPr>
          <w:p>
            <w:pPr>
              <w:pStyle w:val="628"/>
              <w:jc w:val="center"/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01.12.202</w:t>
            </w:r>
            <w:bookmarkStart w:id="2" w:name="sub_12"/>
            <w:r/>
            <w:bookmarkEnd w:id="2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</w:t>
            </w:r>
            <w:r/>
          </w:p>
        </w:tc>
      </w:tr>
    </w:tbl>
    <w:p>
      <w:pPr>
        <w:pStyle w:val="628"/>
        <w:numPr>
          <w:ilvl w:val="0"/>
          <w:numId w:val="0"/>
        </w:numPr>
        <w:ind w:left="360"/>
        <w:jc w:val="center"/>
        <w:keepLines/>
        <w:keepNext/>
        <w:spacing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sectPr>
      <w:footnotePr/>
      <w:endnotePr/>
      <w:type w:val="nextPage"/>
      <w:pgSz w:w="11906" w:h="16838" w:orient="portrait"/>
      <w:pgMar w:top="851" w:right="566" w:bottom="709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libri Light">
    <w:panose1 w:val="020F0302020204030204"/>
  </w:font>
  <w:font w:name="Calibri">
    <w:panose1 w:val="020F050202020403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32"/>
    <w:link w:val="62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32"/>
    <w:link w:val="630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8"/>
    <w:next w:val="62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3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32"/>
    <w:link w:val="63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8"/>
    <w:next w:val="62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3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8"/>
    <w:next w:val="62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3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8"/>
    <w:next w:val="62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3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8"/>
    <w:next w:val="62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3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8"/>
    <w:next w:val="62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3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28"/>
    <w:next w:val="62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32"/>
    <w:link w:val="35"/>
    <w:uiPriority w:val="10"/>
    <w:rPr>
      <w:sz w:val="48"/>
      <w:szCs w:val="48"/>
    </w:rPr>
  </w:style>
  <w:style w:type="paragraph" w:styleId="37">
    <w:name w:val="Subtitle"/>
    <w:basedOn w:val="628"/>
    <w:next w:val="62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32"/>
    <w:link w:val="37"/>
    <w:uiPriority w:val="11"/>
    <w:rPr>
      <w:sz w:val="24"/>
      <w:szCs w:val="24"/>
    </w:rPr>
  </w:style>
  <w:style w:type="paragraph" w:styleId="39">
    <w:name w:val="Quote"/>
    <w:basedOn w:val="628"/>
    <w:next w:val="62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8"/>
    <w:next w:val="62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32"/>
    <w:link w:val="43"/>
    <w:uiPriority w:val="99"/>
  </w:style>
  <w:style w:type="paragraph" w:styleId="45">
    <w:name w:val="Footer"/>
    <w:basedOn w:val="62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32"/>
    <w:link w:val="45"/>
    <w:uiPriority w:val="99"/>
  </w:style>
  <w:style w:type="character" w:styleId="48">
    <w:name w:val="Caption Char"/>
    <w:basedOn w:val="632"/>
    <w:link w:val="648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2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32"/>
    <w:uiPriority w:val="99"/>
    <w:unhideWhenUsed/>
    <w:rPr>
      <w:vertAlign w:val="superscript"/>
    </w:rPr>
  </w:style>
  <w:style w:type="paragraph" w:styleId="179">
    <w:name w:val="endnote text"/>
    <w:basedOn w:val="62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32"/>
    <w:uiPriority w:val="99"/>
    <w:semiHidden/>
    <w:unhideWhenUsed/>
    <w:rPr>
      <w:vertAlign w:val="superscript"/>
    </w:rPr>
  </w:style>
  <w:style w:type="paragraph" w:styleId="184">
    <w:name w:val="toc 3"/>
    <w:basedOn w:val="628"/>
    <w:next w:val="62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8"/>
    <w:next w:val="62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8"/>
    <w:next w:val="62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8"/>
    <w:next w:val="62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8"/>
    <w:next w:val="62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8"/>
    <w:next w:val="62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8"/>
    <w:next w:val="628"/>
    <w:uiPriority w:val="39"/>
    <w:unhideWhenUsed/>
    <w:pPr>
      <w:ind w:left="2268" w:right="0" w:firstLine="0"/>
      <w:spacing w:after="57"/>
    </w:pPr>
  </w:style>
  <w:style w:type="paragraph" w:styleId="192">
    <w:name w:val="table of figures"/>
    <w:basedOn w:val="628"/>
    <w:next w:val="628"/>
    <w:uiPriority w:val="99"/>
    <w:unhideWhenUsed/>
    <w:pPr>
      <w:spacing w:after="0" w:afterAutospacing="0"/>
    </w:pPr>
  </w:style>
  <w:style w:type="paragraph" w:styleId="628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629" w:customStyle="1">
    <w:name w:val="Heading 1"/>
    <w:basedOn w:val="628"/>
    <w:next w:val="628"/>
    <w:link w:val="635"/>
    <w:uiPriority w:val="9"/>
    <w:qFormat/>
    <w:pPr>
      <w:keepLines/>
      <w:keepNext/>
      <w:spacing w:before="480" w:after="0"/>
      <w:outlineLvl w:val="0"/>
    </w:pPr>
    <w:rPr>
      <w:rFonts w:ascii="Calibri Light" w:hAnsi="Calibri Light" w:eastAsia="Times New Roman" w:cs="Times New Roman"/>
      <w:b/>
      <w:bCs/>
      <w:color w:val="2e74b5" w:themeColor="accent1" w:themeShade="BF"/>
      <w:sz w:val="28"/>
      <w:szCs w:val="28"/>
    </w:rPr>
  </w:style>
  <w:style w:type="paragraph" w:styleId="630" w:customStyle="1">
    <w:name w:val="Heading 2"/>
    <w:basedOn w:val="628"/>
    <w:next w:val="628"/>
    <w:link w:val="636"/>
    <w:uiPriority w:val="9"/>
    <w:semiHidden/>
    <w:unhideWhenUsed/>
    <w:qFormat/>
    <w:pPr>
      <w:keepLines/>
      <w:keepNext/>
      <w:spacing w:before="200" w:after="0"/>
      <w:outlineLvl w:val="1"/>
    </w:pPr>
    <w:rPr>
      <w:rFonts w:ascii="Calibri Light" w:hAnsi="Calibri Light" w:eastAsia="Times New Roman" w:cs="Times New Roman"/>
      <w:b/>
      <w:bCs/>
      <w:color w:val="5b9bd5" w:themeColor="accent1"/>
      <w:sz w:val="26"/>
      <w:szCs w:val="26"/>
    </w:rPr>
  </w:style>
  <w:style w:type="paragraph" w:styleId="631" w:customStyle="1">
    <w:name w:val="Heading 4"/>
    <w:basedOn w:val="628"/>
    <w:next w:val="628"/>
    <w:link w:val="641"/>
    <w:uiPriority w:val="9"/>
    <w:semiHidden/>
    <w:unhideWhenUsed/>
    <w:qFormat/>
    <w:pPr>
      <w:keepLines/>
      <w:keepNext/>
      <w:spacing w:before="200" w:after="0"/>
      <w:outlineLvl w:val="3"/>
    </w:pPr>
    <w:rPr>
      <w:rFonts w:ascii="Calibri Light" w:hAnsi="Calibri Light" w:asciiTheme="majorHAnsi" w:hAnsiTheme="majorHAnsi" w:eastAsiaTheme="majorEastAsia" w:cstheme="majorBidi"/>
      <w:b/>
      <w:bCs/>
      <w:i/>
      <w:iCs/>
      <w:color w:val="5b9bd5" w:themeColor="accent1"/>
    </w:rPr>
  </w:style>
  <w:style w:type="character" w:styleId="632" w:default="1">
    <w:name w:val="Default Paragraph Font"/>
    <w:uiPriority w:val="1"/>
    <w:semiHidden/>
    <w:unhideWhenUsed/>
    <w:qFormat/>
  </w:style>
  <w:style w:type="character" w:styleId="633" w:customStyle="1">
    <w:name w:val="Основной текст_"/>
    <w:basedOn w:val="632"/>
    <w:link w:val="652"/>
    <w:qFormat/>
    <w:rPr>
      <w:rFonts w:ascii="Arial" w:hAnsi="Arial" w:eastAsia="Arial" w:cs="Arial"/>
    </w:rPr>
  </w:style>
  <w:style w:type="character" w:styleId="634" w:customStyle="1">
    <w:name w:val="Заголовок №2_"/>
    <w:basedOn w:val="632"/>
    <w:link w:val="653"/>
    <w:qFormat/>
    <w:rPr>
      <w:rFonts w:ascii="Arial" w:hAnsi="Arial" w:eastAsia="Arial" w:cs="Arial"/>
      <w:b/>
      <w:bCs/>
    </w:rPr>
  </w:style>
  <w:style w:type="character" w:styleId="635" w:customStyle="1">
    <w:name w:val="Заголовок 1 Знак"/>
    <w:basedOn w:val="632"/>
    <w:uiPriority w:val="9"/>
    <w:qFormat/>
    <w:rPr>
      <w:rFonts w:ascii="Calibri Light" w:hAnsi="Calibri Light" w:eastAsia="Times New Roman" w:cs="Times New Roman"/>
      <w:b/>
      <w:bCs/>
      <w:color w:val="2e74b5" w:themeColor="accent1" w:themeShade="BF"/>
      <w:sz w:val="28"/>
      <w:szCs w:val="28"/>
    </w:rPr>
  </w:style>
  <w:style w:type="character" w:styleId="636" w:customStyle="1">
    <w:name w:val="Заголовок 2 Знак"/>
    <w:basedOn w:val="632"/>
    <w:uiPriority w:val="9"/>
    <w:semiHidden/>
    <w:qFormat/>
    <w:rPr>
      <w:rFonts w:ascii="Calibri Light" w:hAnsi="Calibri Light" w:eastAsia="Times New Roman" w:cs="Times New Roman"/>
      <w:b/>
      <w:bCs/>
      <w:color w:val="5b9bd5" w:themeColor="accent1"/>
      <w:sz w:val="26"/>
      <w:szCs w:val="26"/>
    </w:rPr>
  </w:style>
  <w:style w:type="character" w:styleId="637">
    <w:name w:val="Hyperlink"/>
    <w:basedOn w:val="632"/>
    <w:uiPriority w:val="99"/>
    <w:semiHidden/>
    <w:unhideWhenUsed/>
    <w:rPr>
      <w:color w:val="0563c1" w:themeColor="hyperlink"/>
      <w:u w:val="single"/>
    </w:rPr>
  </w:style>
  <w:style w:type="character" w:styleId="638">
    <w:name w:val="FollowedHyperlink"/>
    <w:basedOn w:val="632"/>
    <w:uiPriority w:val="99"/>
    <w:semiHidden/>
    <w:unhideWhenUsed/>
    <w:rPr>
      <w:color w:val="954f72" w:themeColor="followedHyperlink"/>
      <w:u w:val="single"/>
    </w:rPr>
  </w:style>
  <w:style w:type="character" w:styleId="639" w:customStyle="1">
    <w:name w:val="Текст выноски Знак"/>
    <w:basedOn w:val="632"/>
    <w:link w:val="657"/>
    <w:uiPriority w:val="99"/>
    <w:semiHidden/>
    <w:qFormat/>
    <w:rPr>
      <w:rFonts w:ascii="Tahoma" w:hAnsi="Tahoma" w:eastAsia="Calibri" w:cs="Tahoma"/>
      <w:sz w:val="16"/>
      <w:szCs w:val="16"/>
    </w:rPr>
  </w:style>
  <w:style w:type="character" w:styleId="640" w:customStyle="1">
    <w:name w:val="Цветовое выделение"/>
    <w:uiPriority w:val="99"/>
    <w:qFormat/>
    <w:rPr>
      <w:b/>
      <w:bCs/>
      <w:color w:val="26282f"/>
    </w:rPr>
  </w:style>
  <w:style w:type="character" w:styleId="641" w:customStyle="1">
    <w:name w:val="Заголовок 4 Знак"/>
    <w:basedOn w:val="632"/>
    <w:uiPriority w:val="9"/>
    <w:semiHidden/>
    <w:qFormat/>
    <w:rPr>
      <w:rFonts w:ascii="Calibri Light" w:hAnsi="Calibri Light" w:asciiTheme="majorHAnsi" w:hAnsiTheme="majorHAnsi" w:eastAsiaTheme="majorEastAsia" w:cstheme="majorBidi"/>
      <w:b/>
      <w:bCs/>
      <w:i/>
      <w:iCs/>
      <w:color w:val="5b9bd5" w:themeColor="accent1"/>
    </w:rPr>
  </w:style>
  <w:style w:type="character" w:styleId="642">
    <w:name w:val="Strong"/>
    <w:basedOn w:val="632"/>
    <w:qFormat/>
    <w:rPr>
      <w:b/>
      <w:bCs/>
    </w:rPr>
  </w:style>
  <w:style w:type="character" w:styleId="643" w:customStyle="1">
    <w:name w:val="Без интервала Знак"/>
    <w:link w:val="662"/>
    <w:uiPriority w:val="1"/>
    <w:qFormat/>
    <w:rPr>
      <w:rFonts w:ascii="Calibri" w:hAnsi="Calibri" w:eastAsia="Times New Roman" w:cs="Times New Roman"/>
      <w:lang w:eastAsia="ru-RU"/>
    </w:rPr>
  </w:style>
  <w:style w:type="character" w:styleId="644" w:customStyle="1">
    <w:name w:val="Символ нумерации"/>
    <w:qFormat/>
  </w:style>
  <w:style w:type="paragraph" w:styleId="645" w:customStyle="1">
    <w:name w:val="Заголовок"/>
    <w:basedOn w:val="628"/>
    <w:next w:val="646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646">
    <w:name w:val="Body Text"/>
    <w:basedOn w:val="628"/>
    <w:pPr>
      <w:spacing w:before="0" w:after="140"/>
    </w:pPr>
  </w:style>
  <w:style w:type="paragraph" w:styleId="647">
    <w:name w:val="List"/>
    <w:basedOn w:val="646"/>
    <w:rPr>
      <w:rFonts w:cs="Arial"/>
    </w:rPr>
  </w:style>
  <w:style w:type="paragraph" w:styleId="648" w:customStyle="1">
    <w:name w:val="Caption"/>
    <w:basedOn w:val="628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649">
    <w:name w:val="Указатель"/>
    <w:basedOn w:val="628"/>
    <w:qFormat/>
    <w:pPr>
      <w:suppressLineNumbers/>
    </w:pPr>
    <w:rPr>
      <w:rFonts w:cs="Arial"/>
    </w:rPr>
  </w:style>
  <w:style w:type="paragraph" w:styleId="650">
    <w:name w:val="index heading1"/>
    <w:basedOn w:val="628"/>
    <w:qFormat/>
    <w:pPr>
      <w:suppressLineNumbers/>
    </w:pPr>
    <w:rPr>
      <w:rFonts w:cs="Arial"/>
    </w:rPr>
  </w:style>
  <w:style w:type="paragraph" w:styleId="651">
    <w:name w:val="List Paragraph"/>
    <w:basedOn w:val="628"/>
    <w:uiPriority w:val="34"/>
    <w:qFormat/>
    <w:pPr>
      <w:contextualSpacing/>
      <w:ind w:left="720"/>
      <w:spacing w:before="0" w:after="200"/>
    </w:pPr>
  </w:style>
  <w:style w:type="paragraph" w:styleId="652" w:customStyle="1">
    <w:name w:val="Основной текст1"/>
    <w:basedOn w:val="628"/>
    <w:link w:val="633"/>
    <w:qFormat/>
    <w:pPr>
      <w:ind w:firstLine="400"/>
      <w:spacing w:before="0" w:after="0" w:line="240" w:lineRule="auto"/>
      <w:widowControl w:val="off"/>
    </w:pPr>
    <w:rPr>
      <w:rFonts w:ascii="Arial" w:hAnsi="Arial" w:eastAsia="Arial" w:cs="Arial"/>
    </w:rPr>
  </w:style>
  <w:style w:type="paragraph" w:styleId="653" w:customStyle="1">
    <w:name w:val="Заголовок №2"/>
    <w:basedOn w:val="628"/>
    <w:link w:val="634"/>
    <w:qFormat/>
    <w:pPr>
      <w:ind w:firstLine="720"/>
      <w:spacing w:before="0" w:after="0" w:line="240" w:lineRule="auto"/>
      <w:widowControl w:val="off"/>
      <w:outlineLvl w:val="1"/>
    </w:pPr>
    <w:rPr>
      <w:rFonts w:ascii="Arial" w:hAnsi="Arial" w:eastAsia="Arial" w:cs="Arial"/>
      <w:b/>
      <w:bCs/>
    </w:rPr>
  </w:style>
  <w:style w:type="paragraph" w:styleId="654" w:customStyle="1">
    <w:name w:val="msonormal"/>
    <w:basedOn w:val="628"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55" w:customStyle="1">
    <w:name w:val="toc 1"/>
    <w:basedOn w:val="628"/>
    <w:next w:val="628"/>
    <w:uiPriority w:val="39"/>
    <w:semiHidden/>
    <w:unhideWhenUsed/>
    <w:pPr>
      <w:spacing w:before="0" w:after="100"/>
    </w:pPr>
    <w:rPr>
      <w:rFonts w:ascii="Calibri" w:hAnsi="Calibri" w:eastAsia="Calibri" w:cs="Times New Roman"/>
    </w:rPr>
  </w:style>
  <w:style w:type="paragraph" w:styleId="656" w:customStyle="1">
    <w:name w:val="toc 2"/>
    <w:basedOn w:val="628"/>
    <w:next w:val="628"/>
    <w:uiPriority w:val="39"/>
    <w:semiHidden/>
    <w:unhideWhenUsed/>
    <w:pPr>
      <w:ind w:left="220"/>
      <w:spacing w:before="0" w:after="100"/>
    </w:pPr>
    <w:rPr>
      <w:rFonts w:ascii="Calibri" w:hAnsi="Calibri" w:eastAsia="Calibri" w:cs="Times New Roman"/>
    </w:rPr>
  </w:style>
  <w:style w:type="paragraph" w:styleId="657">
    <w:name w:val="Balloon Text"/>
    <w:basedOn w:val="628"/>
    <w:link w:val="639"/>
    <w:uiPriority w:val="99"/>
    <w:semiHidden/>
    <w:unhideWhenUsed/>
    <w:qFormat/>
    <w:pPr>
      <w:spacing w:before="0" w:after="0" w:line="240" w:lineRule="auto"/>
    </w:pPr>
    <w:rPr>
      <w:rFonts w:ascii="Tahoma" w:hAnsi="Tahoma" w:eastAsia="Calibri" w:cs="Tahoma"/>
      <w:sz w:val="16"/>
      <w:szCs w:val="16"/>
    </w:rPr>
  </w:style>
  <w:style w:type="paragraph" w:styleId="658">
    <w:name w:val="No Spacing"/>
    <w:uiPriority w:val="1"/>
    <w:qFormat/>
    <w:pPr>
      <w:jc w:val="left"/>
      <w:spacing w:before="0" w:after="0"/>
      <w:widowControl/>
    </w:pPr>
    <w:rPr>
      <w:rFonts w:ascii="Calibri" w:hAnsi="Calibri" w:eastAsia="Times New Roman" w:cs="Times New Roman" w:asciiTheme="minorHAnsi" w:hAnsiTheme="minorHAnsi"/>
      <w:color w:val="auto"/>
      <w:sz w:val="22"/>
      <w:szCs w:val="22"/>
      <w:lang w:val="ru-RU" w:eastAsia="ru-RU" w:bidi="ar-SA"/>
    </w:rPr>
  </w:style>
  <w:style w:type="paragraph" w:styleId="659" w:customStyle="1">
    <w:name w:val="Index Heading"/>
    <w:basedOn w:val="645"/>
  </w:style>
  <w:style w:type="paragraph" w:styleId="660">
    <w:name w:val="TOC Heading"/>
    <w:basedOn w:val="629"/>
    <w:next w:val="628"/>
    <w:uiPriority w:val="39"/>
    <w:semiHidden/>
    <w:unhideWhenUsed/>
    <w:qFormat/>
    <w:pPr>
      <w:outlineLvl w:val="9"/>
    </w:pPr>
    <w:rPr>
      <w:lang w:eastAsia="ru-RU"/>
    </w:rPr>
  </w:style>
  <w:style w:type="paragraph" w:styleId="661" w:customStyle="1">
    <w:name w:val="xl75"/>
    <w:basedOn w:val="628"/>
    <w:qFormat/>
    <w:pPr>
      <w:spacing w:beforeAutospacing="1" w:afterAutospacing="1" w:line="240" w:lineRule="auto"/>
      <w:pBdr>
        <w:bottom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2" w:customStyle="1">
    <w:name w:val="Без интервала2"/>
    <w:link w:val="643"/>
    <w:uiPriority w:val="1"/>
    <w:qFormat/>
    <w:pPr>
      <w:jc w:val="left"/>
      <w:spacing w:before="0" w:after="0"/>
      <w:widowControl/>
    </w:pPr>
    <w:rPr>
      <w:rFonts w:ascii="Calibri" w:hAnsi="Calibri" w:eastAsia="Times New Roman" w:cs="Times New Roman" w:asciiTheme="minorHAnsi" w:hAnsiTheme="minorHAnsi"/>
      <w:color w:val="auto"/>
      <w:sz w:val="22"/>
      <w:szCs w:val="22"/>
      <w:lang w:val="ru-RU" w:eastAsia="ru-RU" w:bidi="ar-SA"/>
    </w:rPr>
  </w:style>
  <w:style w:type="paragraph" w:styleId="663" w:customStyle="1">
    <w:name w:val="Содержимое таблицы"/>
    <w:basedOn w:val="628"/>
    <w:qFormat/>
    <w:pPr>
      <w:widowControl w:val="off"/>
      <w:suppressLineNumbers/>
    </w:pPr>
  </w:style>
  <w:style w:type="paragraph" w:styleId="664" w:customStyle="1">
    <w:name w:val="Заголовок таблицы"/>
    <w:basedOn w:val="663"/>
    <w:qFormat/>
    <w:pPr>
      <w:jc w:val="center"/>
    </w:pPr>
    <w:rPr>
      <w:b/>
      <w:bCs/>
    </w:rPr>
  </w:style>
  <w:style w:type="numbering" w:styleId="665" w:default="1">
    <w:name w:val="No List"/>
    <w:uiPriority w:val="99"/>
    <w:semiHidden/>
    <w:unhideWhenUsed/>
    <w:qFormat/>
  </w:style>
  <w:style w:type="table" w:styleId="667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Table Grid"/>
    <w:basedOn w:val="667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 w:customStyle="1">
    <w:name w:val="Сетка таблицы1"/>
    <w:basedOn w:val="667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BDD48-EF55-46CF-8838-45B14E9EC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Парикова Анастасия Владимировна</dc:creator>
  <dc:description/>
  <dc:language>ru-RU</dc:language>
  <cp:lastModifiedBy>user</cp:lastModifiedBy>
  <cp:revision>4</cp:revision>
  <dcterms:created xsi:type="dcterms:W3CDTF">2026-05-14T13:32:00Z</dcterms:created>
  <dcterms:modified xsi:type="dcterms:W3CDTF">2026-06-09T11:20:16Z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