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Форма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оперативного (годового) отчета о реализации мероприятий муниципальной 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Синявинского городского поселения Кировского муниципального района Ленинградской области    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Развитие общественной инфраструктуры Синявинского городского поселения Кировского муниципального района Ленинградской области на 202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6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год» 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</w:rPr>
      </w:r>
    </w:p>
    <w:p>
      <w:pPr>
        <w:pStyle w:val="8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(наименование муниципальной программы)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январь - июнь 202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/>
    </w:p>
    <w:tbl>
      <w:tblPr>
        <w:tblW w:w="0" w:type="auto"/>
        <w:tblInd w:w="0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5835"/>
        <w:gridCol w:w="2965"/>
        <w:gridCol w:w="3600"/>
        <w:gridCol w:w="2710"/>
      </w:tblGrid>
      <w:tr>
        <w:tblPrEx/>
        <w:trPr>
          <w:trHeight w:val="6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t xml:space="preserve">Наименования подпрограммы,  </w:t>
            </w:r>
            <w:r/>
          </w:p>
          <w:p>
            <w:pPr>
              <w:pStyle w:val="874"/>
              <w:jc w:val="center"/>
            </w:pPr>
            <w:r>
              <w:t xml:space="preserve">проекта, структурного элемента, мероприятия </w:t>
            </w:r>
            <w:r/>
          </w:p>
          <w:p>
            <w:pPr>
              <w:pStyle w:val="874"/>
              <w:jc w:val="center"/>
            </w:pPr>
            <w:r>
              <w:t xml:space="preserve">(с указанием  порядкового номера)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t xml:space="preserve">Объем финансирования            </w:t>
              <w:br w:type="textWrapping" w:clear="all"/>
              <w:t xml:space="preserve">на 2026 год (тыс. руб.)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t xml:space="preserve">Выполнено</w:t>
              <w:br w:type="textWrapping" w:clear="all"/>
              <w:t xml:space="preserve">(тыс. руб.)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t xml:space="preserve">Профинансировано</w:t>
              <w:br w:type="textWrapping" w:clear="all"/>
              <w:t xml:space="preserve">(тыс. руб.)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t xml:space="preserve">5</w:t>
            </w:r>
            <w:r/>
          </w:p>
        </w:tc>
      </w:tr>
      <w:tr>
        <w:tblPrEx/>
        <w:trPr>
          <w:trHeight w:val="974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3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общественной инфраструктуры Синявинского городского поселения Кировского муниципального района Ленинградской области на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ru-RU"/>
              </w:rPr>
              <w:t xml:space="preserve">17448,75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3150,45</w:t>
            </w:r>
            <w:r/>
          </w:p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t xml:space="preserve">3150,45</w:t>
            </w:r>
            <w:r/>
          </w:p>
        </w:tc>
      </w:tr>
      <w:tr>
        <w:tblPrEx/>
        <w:trPr>
          <w:trHeight w:val="26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Средства бюджета городского поселения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4448,75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157,52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157,52</w:t>
            </w:r>
            <w:r/>
          </w:p>
        </w:tc>
      </w:tr>
      <w:tr>
        <w:tblPrEx/>
        <w:trPr>
          <w:trHeight w:val="20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Средства иных бюджетов      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3000,00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2992,93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2992,93</w:t>
            </w:r>
            <w:r/>
          </w:p>
        </w:tc>
      </w:tr>
      <w:tr>
        <w:tblPrEx/>
        <w:trPr>
          <w:trHeight w:val="49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Внебюджетные источники    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</w:tr>
      <w:tr>
        <w:tblPrEx/>
        <w:trPr>
          <w:trHeight w:val="51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1. Развитие общественной инфраструктуры: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3157,90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3150,45</w:t>
            </w:r>
            <w:r/>
          </w:p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t xml:space="preserve">3150,45</w:t>
            </w:r>
            <w:r/>
          </w:p>
        </w:tc>
      </w:tr>
      <w:tr>
        <w:tblPrEx/>
        <w:trPr>
          <w:trHeight w:val="2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Средства бюджета городского поселения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157,90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157,52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157,52</w:t>
            </w:r>
            <w:r/>
          </w:p>
        </w:tc>
      </w:tr>
      <w:tr>
        <w:tblPrEx/>
        <w:trPr>
          <w:trHeight w:val="1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Средства иных бюджетов     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3000,00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2992,93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2992,93</w:t>
            </w:r>
            <w:r/>
          </w:p>
        </w:tc>
      </w:tr>
      <w:tr>
        <w:tblPrEx/>
        <w:trPr>
          <w:trHeight w:val="1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Внебюджетные источники   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</w:tr>
      <w:tr>
        <w:tblPrEx/>
        <w:trPr>
          <w:trHeight w:val="4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  <w:szCs w:val="24"/>
                <w:lang w:val="ru-RU"/>
              </w:rPr>
              <w:t xml:space="preserve">1.2. Поддержка развития общественной инфраструктуры муниципального значения: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3157,90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3150,45</w:t>
            </w:r>
            <w:r/>
          </w:p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t xml:space="preserve">3150,45</w:t>
            </w:r>
            <w:r/>
          </w:p>
        </w:tc>
      </w:tr>
      <w:tr>
        <w:tblPrEx/>
        <w:trPr>
          <w:trHeight w:val="2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Средства бюджета городского поселения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157,90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157,52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157,52</w:t>
            </w:r>
            <w:r/>
          </w:p>
        </w:tc>
      </w:tr>
      <w:tr>
        <w:tblPrEx/>
        <w:trPr>
          <w:trHeight w:val="1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Средства иных бюджетов     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3000,00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2992,93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2992,93</w:t>
            </w:r>
            <w:r/>
          </w:p>
        </w:tc>
      </w:tr>
      <w:tr>
        <w:tblPrEx/>
        <w:trPr>
          <w:trHeight w:val="1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Внебюджетные источники   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</w:tr>
      <w:tr>
        <w:tblPrEx/>
        <w:trPr>
          <w:trHeight w:val="8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29"/>
              <w:ind w:right="0"/>
              <w:jc w:val="left"/>
              <w:widowControl/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 xml:space="preserve">Благоустройство дворовой территории, приобретение и установка детского игрового оборудования во дворе многоквартирных домов № 9 и № 10 по ул. Кравченко в  г.п. Синявино Кировского района Ленинградской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3157,90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3150,45</w:t>
            </w:r>
            <w:r/>
          </w:p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t xml:space="preserve">3150,45</w:t>
            </w:r>
            <w:r>
              <w:rPr>
                <w:sz w:val="24"/>
                <w:szCs w:val="24"/>
                <w:lang w:val="en-US"/>
              </w:rPr>
            </w:r>
            <w:r/>
          </w:p>
        </w:tc>
      </w:tr>
      <w:tr>
        <w:tblPrEx/>
        <w:trPr>
          <w:trHeight w:val="1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Средства бюджета городского поселения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157,90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157,52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157,52</w:t>
            </w:r>
            <w:r>
              <w:rPr>
                <w:sz w:val="24"/>
                <w:szCs w:val="24"/>
                <w:lang w:val="en-US"/>
              </w:rPr>
            </w:r>
            <w:r/>
          </w:p>
        </w:tc>
      </w:tr>
      <w:tr>
        <w:tblPrEx/>
        <w:trPr>
          <w:trHeight w:val="1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Средства иных бюджетов     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3000,00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2992,93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2992,93</w:t>
            </w:r>
            <w:r>
              <w:rPr>
                <w:sz w:val="24"/>
                <w:szCs w:val="24"/>
                <w:lang w:val="en-US"/>
              </w:rPr>
            </w:r>
            <w:r/>
          </w:p>
        </w:tc>
      </w:tr>
      <w:tr>
        <w:tblPrEx/>
        <w:trPr>
          <w:trHeight w:val="1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Внебюджетные источники   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</w:tr>
      <w:tr>
        <w:tblPrEx/>
        <w:trPr>
          <w:trHeight w:val="1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29"/>
              <w:ind w:left="0" w:right="0" w:firstLine="0"/>
              <w:jc w:val="left"/>
              <w:spacing w:before="0" w:after="0"/>
              <w:widowControl/>
            </w:pPr>
            <w:r>
              <w:t xml:space="preserve">2. Организация благоустройства территории поседения (за исключением осуществления дорожной деятельности, капитального ремонта (ремонта) дворовых территорий и проездов к ним):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ru-RU"/>
              </w:rPr>
              <w:t xml:space="preserve">14290,85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0</w:t>
            </w:r>
            <w:r/>
          </w:p>
        </w:tc>
      </w:tr>
      <w:tr>
        <w:tblPrEx/>
        <w:trPr>
          <w:trHeight w:val="1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Средства бюджета городского поселения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ru-RU"/>
              </w:rPr>
              <w:t xml:space="preserve">4290,85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0</w:t>
            </w:r>
            <w:r/>
          </w:p>
        </w:tc>
      </w:tr>
      <w:tr>
        <w:tblPrEx/>
        <w:trPr>
          <w:trHeight w:val="1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Средства иных бюджетов      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ru-RU"/>
              </w:rPr>
              <w:t xml:space="preserve">10000,00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</w:tr>
      <w:tr>
        <w:tblPrEx/>
        <w:trPr>
          <w:trHeight w:val="1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Внебюджетные источники    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</w:tr>
      <w:tr>
        <w:tblPrEx/>
        <w:trPr>
          <w:trHeight w:val="1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29"/>
              <w:ind w:left="0" w:right="0" w:firstLine="0"/>
              <w:jc w:val="left"/>
              <w:spacing w:before="0" w:after="0"/>
              <w:widowControl/>
            </w:pPr>
            <w:r>
              <w:t xml:space="preserve">2.1. Благоустройство парковой зоны в г.п. Синявино (территория 2, ул. Труда)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2999,00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0</w:t>
            </w:r>
            <w:r/>
          </w:p>
        </w:tc>
      </w:tr>
      <w:tr>
        <w:tblPrEx/>
        <w:trPr>
          <w:trHeight w:val="1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Средства бюджета городского поселения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2999,00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0</w:t>
            </w:r>
            <w:r/>
          </w:p>
        </w:tc>
      </w:tr>
      <w:tr>
        <w:tblPrEx/>
        <w:trPr>
          <w:trHeight w:val="1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Средства иных бюджетов      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textDirection w:val="lrTb"/>
            <w:noWrap w:val="false"/>
          </w:tcPr>
          <w:p>
            <w:pPr>
              <w:pStyle w:val="874"/>
            </w:pPr>
            <w:r>
              <w:rPr>
                <w:sz w:val="24"/>
                <w:szCs w:val="24"/>
                <w:lang w:val="ru-RU"/>
              </w:rPr>
              <w:t xml:space="preserve">Внебюджетные источники     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textDirection w:val="lrTb"/>
            <w:noWrap w:val="false"/>
          </w:tcPr>
          <w:p>
            <w:pPr>
              <w:pStyle w:val="874"/>
              <w:jc w:val="center"/>
            </w:pPr>
            <w:r>
              <w:rPr>
                <w:sz w:val="24"/>
                <w:szCs w:val="24"/>
                <w:lang w:val="en-US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2.2. Благоустройство территории по ул. Лесная, ул. Садовая, ул. Кравченко, г.п. Синявино Кировского района Ленинградской области</w:t>
            </w:r>
            <w:r>
              <w:rPr>
                <w:sz w:val="24"/>
                <w:szCs w:val="24"/>
                <w:highlight w:val="white"/>
                <w:lang w:val="ru-RU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11291,85</w:t>
            </w: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0</w:t>
            </w:r>
            <w:r>
              <w:rPr>
                <w:sz w:val="24"/>
                <w:szCs w:val="24"/>
                <w:highlight w:val="yellow"/>
                <w:lang w:val="en-US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0</w:t>
            </w:r>
            <w:r>
              <w:rPr>
                <w:sz w:val="24"/>
                <w:szCs w:val="24"/>
                <w:highlight w:val="yellow"/>
                <w:lang w:val="en-US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1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Средства бюджета городского поселения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1291,85</w:t>
            </w: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0</w:t>
            </w:r>
            <w:r>
              <w:rPr>
                <w:sz w:val="24"/>
                <w:szCs w:val="24"/>
                <w:highlight w:val="yellow"/>
                <w:lang w:val="en-US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0</w:t>
            </w:r>
            <w:r>
              <w:rPr>
                <w:sz w:val="24"/>
                <w:szCs w:val="24"/>
                <w:highlight w:val="yellow"/>
                <w:lang w:val="en-US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1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Средства иных бюджетов       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 xml:space="preserve">10000,00</w:t>
            </w: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0</w:t>
            </w:r>
            <w:r>
              <w:rPr>
                <w:sz w:val="24"/>
                <w:szCs w:val="24"/>
                <w:highlight w:val="yellow"/>
                <w:lang w:val="en-US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0</w:t>
            </w:r>
            <w:r>
              <w:rPr>
                <w:sz w:val="24"/>
                <w:szCs w:val="24"/>
                <w:highlight w:val="yellow"/>
                <w:lang w:val="en-US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17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3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Внебюджетные источники     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65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-</w:t>
            </w:r>
            <w:r>
              <w:rPr>
                <w:sz w:val="24"/>
                <w:szCs w:val="24"/>
                <w:highlight w:val="white"/>
                <w:lang w:val="en-US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00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-</w:t>
            </w:r>
            <w:r>
              <w:rPr>
                <w:sz w:val="24"/>
                <w:szCs w:val="24"/>
                <w:highlight w:val="yellow"/>
                <w:lang w:val="en-US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0" w:type="dxa"/>
            <w:vAlign w:val="top"/>
            <w:vMerge w:val="restart"/>
            <w:textDirection w:val="lrTb"/>
            <w:noWrap w:val="false"/>
          </w:tcPr>
          <w:p>
            <w:pPr>
              <w:pStyle w:val="874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none"/>
                <w:lang w:val="en-US"/>
              </w:rPr>
              <w:t xml:space="preserve">-</w:t>
            </w:r>
            <w:r>
              <w:rPr>
                <w:sz w:val="24"/>
                <w:szCs w:val="24"/>
                <w:highlight w:val="yellow"/>
                <w:lang w:val="en-US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</w:tr>
    </w:tbl>
    <w:p>
      <w:pPr>
        <w:pStyle w:val="8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5"/>
        <w:ind w:left="0" w:right="-510" w:firstLine="0"/>
        <w:widowControl w:val="off"/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pStyle w:val="875"/>
        <w:ind w:left="0" w:right="-510" w:firstLine="0"/>
        <w:widowControl w:val="off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Ответственный исполнитель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Гагарина В.А.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Руководитель                                Хоменок Е.В.</w:t>
      </w:r>
      <w:r/>
    </w:p>
    <w:p>
      <w:pPr>
        <w:pStyle w:val="875"/>
      </w:pPr>
      <w:r/>
      <w:r/>
    </w:p>
    <w:p>
      <w:pPr>
        <w:pStyle w:val="829"/>
        <w:widowControl w:val="off"/>
        <w:rPr>
          <w:rFonts w:cs="Calibri"/>
        </w:rPr>
      </w:pPr>
      <w:r>
        <w:rPr>
          <w:rFonts w:cs="Calibri"/>
          <w:lang w:val="ru-RU"/>
        </w:rPr>
        <w:t xml:space="preserve">Согласовано:                            Макаричева Е.В.</w:t>
      </w:r>
      <w:r>
        <w:rPr>
          <w:rFonts w:cs="Calibri"/>
          <w:lang w:val="ru-RU"/>
        </w:rPr>
      </w:r>
      <w:r>
        <w:rPr>
          <w:rFonts w:cs="Calibri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6838" w:h="11906" w:orient="landscape"/>
      <w:pgMar w:top="284" w:right="1134" w:bottom="142" w:left="1134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29"/>
    <w:next w:val="829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29"/>
    <w:next w:val="829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29"/>
    <w:next w:val="829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29"/>
    <w:next w:val="829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29"/>
    <w:next w:val="829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29"/>
    <w:next w:val="829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29"/>
    <w:next w:val="829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29"/>
    <w:next w:val="829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29"/>
    <w:next w:val="829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29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29"/>
    <w:next w:val="829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character" w:styleId="677">
    <w:name w:val="Subtitle Char"/>
    <w:link w:val="880"/>
    <w:uiPriority w:val="11"/>
    <w:rPr>
      <w:sz w:val="24"/>
      <w:szCs w:val="24"/>
    </w:rPr>
  </w:style>
  <w:style w:type="paragraph" w:styleId="678">
    <w:name w:val="Quote"/>
    <w:basedOn w:val="829"/>
    <w:next w:val="829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29"/>
    <w:next w:val="829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character" w:styleId="682">
    <w:name w:val="Header Char"/>
    <w:link w:val="878"/>
    <w:uiPriority w:val="99"/>
  </w:style>
  <w:style w:type="character" w:styleId="683">
    <w:name w:val="Footer Char"/>
    <w:link w:val="870"/>
    <w:uiPriority w:val="99"/>
  </w:style>
  <w:style w:type="character" w:styleId="684">
    <w:name w:val="Caption Char"/>
    <w:link w:val="864"/>
    <w:uiPriority w:val="35"/>
    <w:rPr>
      <w:b/>
      <w:bCs/>
      <w:color w:val="4f81bd" w:themeColor="accent1"/>
      <w:sz w:val="18"/>
      <w:szCs w:val="18"/>
    </w:rPr>
  </w:style>
  <w:style w:type="table" w:styleId="685">
    <w:name w:val="Table Grid"/>
    <w:basedOn w:val="82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Table Grid Light"/>
    <w:basedOn w:val="8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8">
    <w:name w:val="Plain Table 2"/>
    <w:basedOn w:val="8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9">
    <w:name w:val="Plain Table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3">
    <w:name w:val="Grid Table 6 Colorful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4">
    <w:name w:val="Grid Table 7 Colorful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5 Dark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1">
    <w:name w:val="List Table 5 Dark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6 Colorful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5">
    <w:name w:val="List Table 7 Colorful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6">
    <w:name w:val="List Table 7 Colorful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87">
    <w:name w:val="List Table 7 Colorful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88">
    <w:name w:val="List Table 7 Colorful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89">
    <w:name w:val="List Table 7 Colorful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0">
    <w:name w:val="Lined - Accent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basedOn w:val="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1">
    <w:name w:val="footnote text"/>
    <w:basedOn w:val="829"/>
    <w:link w:val="812"/>
    <w:uiPriority w:val="99"/>
    <w:semiHidden/>
    <w:unhideWhenUsed/>
    <w:pPr>
      <w:spacing w:after="40" w:line="240" w:lineRule="auto"/>
    </w:pPr>
    <w:rPr>
      <w:sz w:val="18"/>
    </w:rPr>
  </w:style>
  <w:style w:type="character" w:styleId="812">
    <w:name w:val="Footnote Text Char"/>
    <w:link w:val="811"/>
    <w:uiPriority w:val="99"/>
    <w:rPr>
      <w:sz w:val="18"/>
    </w:rPr>
  </w:style>
  <w:style w:type="character" w:styleId="813">
    <w:name w:val="footnote reference"/>
    <w:uiPriority w:val="99"/>
    <w:unhideWhenUsed/>
    <w:rPr>
      <w:vertAlign w:val="superscript"/>
    </w:rPr>
  </w:style>
  <w:style w:type="paragraph" w:styleId="814">
    <w:name w:val="endnote text"/>
    <w:basedOn w:val="829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uiPriority w:val="99"/>
    <w:semiHidden/>
    <w:unhideWhenUsed/>
    <w:rPr>
      <w:vertAlign w:val="superscript"/>
    </w:rPr>
  </w:style>
  <w:style w:type="paragraph" w:styleId="817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8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19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0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1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2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3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4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5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829"/>
    <w:next w:val="829"/>
    <w:uiPriority w:val="99"/>
    <w:unhideWhenUsed/>
    <w:pPr>
      <w:spacing w:after="0" w:afterAutospacing="0"/>
    </w:pPr>
  </w:style>
  <w:style w:type="table" w:styleId="82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29" w:default="1">
    <w:name w:val="Normal"/>
    <w:next w:val="829"/>
    <w:link w:val="829"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830">
    <w:name w:val="WW8Num1z0"/>
    <w:next w:val="830"/>
    <w:link w:val="829"/>
    <w:rPr>
      <w:rFonts w:ascii="Symbol" w:hAnsi="Symbol" w:cs="Symbol"/>
    </w:rPr>
  </w:style>
  <w:style w:type="character" w:styleId="831">
    <w:name w:val="WW8Num1z1"/>
    <w:next w:val="831"/>
    <w:link w:val="829"/>
    <w:rPr>
      <w:rFonts w:ascii="Courier New" w:hAnsi="Courier New" w:cs="Courier New"/>
    </w:rPr>
  </w:style>
  <w:style w:type="character" w:styleId="832">
    <w:name w:val="WW8Num1z2"/>
    <w:next w:val="832"/>
    <w:link w:val="829"/>
    <w:rPr>
      <w:rFonts w:ascii="Wingdings" w:hAnsi="Wingdings" w:cs="Wingdings"/>
    </w:rPr>
  </w:style>
  <w:style w:type="character" w:styleId="833">
    <w:name w:val="WW8Num2z0"/>
    <w:next w:val="833"/>
    <w:rPr>
      <w:rFonts w:ascii="Symbol" w:hAnsi="Symbol" w:cs="Symbol"/>
    </w:rPr>
  </w:style>
  <w:style w:type="character" w:styleId="834">
    <w:name w:val="WW8Num2z1"/>
    <w:next w:val="834"/>
    <w:link w:val="829"/>
    <w:rPr>
      <w:rFonts w:ascii="Courier New" w:hAnsi="Courier New" w:cs="Courier New"/>
    </w:rPr>
  </w:style>
  <w:style w:type="character" w:styleId="835">
    <w:name w:val="WW8Num2z2"/>
    <w:next w:val="835"/>
    <w:link w:val="829"/>
    <w:rPr>
      <w:rFonts w:ascii="Wingdings" w:hAnsi="Wingdings" w:cs="Wingdings"/>
    </w:rPr>
  </w:style>
  <w:style w:type="character" w:styleId="836">
    <w:name w:val="WW8Num3z0"/>
    <w:next w:val="836"/>
    <w:link w:val="829"/>
    <w:rPr>
      <w:rFonts w:ascii="Symbol" w:hAnsi="Symbol" w:cs="Symbol"/>
    </w:rPr>
  </w:style>
  <w:style w:type="character" w:styleId="837">
    <w:name w:val="WW8Num3z1"/>
    <w:next w:val="837"/>
    <w:link w:val="829"/>
    <w:rPr>
      <w:rFonts w:ascii="Courier New" w:hAnsi="Courier New" w:cs="Courier New"/>
    </w:rPr>
  </w:style>
  <w:style w:type="character" w:styleId="838">
    <w:name w:val="WW8Num3z2"/>
    <w:next w:val="838"/>
    <w:link w:val="829"/>
    <w:rPr>
      <w:rFonts w:ascii="Wingdings" w:hAnsi="Wingdings" w:cs="Wingdings"/>
    </w:rPr>
  </w:style>
  <w:style w:type="character" w:styleId="839">
    <w:name w:val="WW8Num4z0"/>
    <w:next w:val="839"/>
    <w:link w:val="829"/>
    <w:rPr>
      <w:rFonts w:ascii="Symbol" w:hAnsi="Symbol" w:cs="Symbol"/>
    </w:rPr>
  </w:style>
  <w:style w:type="character" w:styleId="840">
    <w:name w:val="WW8Num4z1"/>
    <w:next w:val="840"/>
    <w:link w:val="829"/>
    <w:rPr>
      <w:rFonts w:ascii="Courier New" w:hAnsi="Courier New" w:cs="Courier New"/>
    </w:rPr>
  </w:style>
  <w:style w:type="character" w:styleId="841">
    <w:name w:val="WW8Num4z2"/>
    <w:next w:val="841"/>
    <w:link w:val="829"/>
    <w:rPr>
      <w:rFonts w:ascii="Wingdings" w:hAnsi="Wingdings" w:cs="Wingdings"/>
    </w:rPr>
  </w:style>
  <w:style w:type="character" w:styleId="842">
    <w:name w:val="WW8Num5z0"/>
    <w:next w:val="842"/>
    <w:link w:val="829"/>
    <w:rPr>
      <w:rFonts w:ascii="Symbol" w:hAnsi="Symbol" w:cs="Symbol"/>
    </w:rPr>
  </w:style>
  <w:style w:type="character" w:styleId="843">
    <w:name w:val="WW8Num5z1"/>
    <w:next w:val="843"/>
    <w:link w:val="829"/>
    <w:rPr>
      <w:rFonts w:ascii="Courier New" w:hAnsi="Courier New" w:cs="Courier New"/>
    </w:rPr>
  </w:style>
  <w:style w:type="character" w:styleId="844">
    <w:name w:val="WW8Num5z2"/>
    <w:next w:val="844"/>
    <w:link w:val="829"/>
    <w:rPr>
      <w:rFonts w:ascii="Wingdings" w:hAnsi="Wingdings" w:cs="Wingdings"/>
    </w:rPr>
  </w:style>
  <w:style w:type="character" w:styleId="845">
    <w:name w:val="WW8Num6z0"/>
    <w:next w:val="845"/>
    <w:link w:val="829"/>
    <w:rPr>
      <w:rFonts w:ascii="Symbol" w:hAnsi="Symbol" w:cs="Symbol"/>
    </w:rPr>
  </w:style>
  <w:style w:type="character" w:styleId="846">
    <w:name w:val="WW8Num6z1"/>
    <w:next w:val="846"/>
    <w:link w:val="829"/>
    <w:rPr>
      <w:rFonts w:ascii="Courier New" w:hAnsi="Courier New" w:cs="Courier New"/>
    </w:rPr>
  </w:style>
  <w:style w:type="character" w:styleId="847">
    <w:name w:val="WW8Num6z2"/>
    <w:next w:val="847"/>
    <w:rPr>
      <w:rFonts w:ascii="Wingdings" w:hAnsi="Wingdings" w:cs="Wingdings"/>
    </w:rPr>
  </w:style>
  <w:style w:type="character" w:styleId="848">
    <w:name w:val="WW8Num7z0"/>
    <w:next w:val="848"/>
    <w:link w:val="829"/>
  </w:style>
  <w:style w:type="character" w:styleId="849">
    <w:name w:val="Основной шрифт абзаца"/>
    <w:next w:val="849"/>
    <w:link w:val="829"/>
  </w:style>
  <w:style w:type="character" w:styleId="850">
    <w:name w:val="Нижний колонтитул Знак"/>
    <w:next w:val="850"/>
    <w:link w:val="829"/>
    <w:rPr>
      <w:rFonts w:ascii="Times New Roman" w:hAnsi="Times New Roman" w:eastAsia="Times New Roman" w:cs="Times New Roman"/>
      <w:sz w:val="24"/>
      <w:szCs w:val="24"/>
    </w:rPr>
  </w:style>
  <w:style w:type="character" w:styleId="851">
    <w:name w:val="Page Number"/>
    <w:basedOn w:val="849"/>
    <w:next w:val="851"/>
  </w:style>
  <w:style w:type="character" w:styleId="852">
    <w:name w:val="Основной текст с отступом Знак"/>
    <w:next w:val="852"/>
    <w:link w:val="829"/>
    <w:rPr>
      <w:rFonts w:ascii="Times New Roman" w:hAnsi="Times New Roman" w:eastAsia="Times New Roman" w:cs="Times New Roman"/>
      <w:sz w:val="24"/>
      <w:szCs w:val="24"/>
    </w:rPr>
  </w:style>
  <w:style w:type="character" w:styleId="853">
    <w:name w:val="ConsPlusNormal Знак"/>
    <w:next w:val="853"/>
    <w:link w:val="829"/>
    <w:rPr>
      <w:rFonts w:ascii="Arial" w:hAnsi="Arial" w:eastAsia="Times New Roman" w:cs="Arial"/>
      <w:lang w:val="ru-RU" w:bidi="ar-SA"/>
    </w:rPr>
  </w:style>
  <w:style w:type="character" w:styleId="854">
    <w:name w:val="Основной текст 2 Знак"/>
    <w:next w:val="854"/>
    <w:link w:val="829"/>
    <w:rPr>
      <w:rFonts w:ascii="Times New Roman" w:hAnsi="Times New Roman" w:eastAsia="Times New Roman" w:cs="Times New Roman"/>
      <w:sz w:val="24"/>
      <w:szCs w:val="24"/>
    </w:rPr>
  </w:style>
  <w:style w:type="character" w:styleId="855">
    <w:name w:val="Верхний колонтитул Знак"/>
    <w:next w:val="855"/>
    <w:link w:val="829"/>
    <w:rPr>
      <w:rFonts w:ascii="Times New Roman" w:hAnsi="Times New Roman" w:eastAsia="Times New Roman" w:cs="Times New Roman"/>
      <w:sz w:val="24"/>
      <w:szCs w:val="24"/>
    </w:rPr>
  </w:style>
  <w:style w:type="character" w:styleId="856">
    <w:name w:val="Название Знак"/>
    <w:basedOn w:val="849"/>
    <w:next w:val="856"/>
    <w:link w:val="829"/>
    <w:rPr>
      <w:rFonts w:ascii="Times New Roman" w:hAnsi="Times New Roman" w:eastAsia="Times New Roman" w:cs="Times New Roman"/>
      <w:sz w:val="32"/>
    </w:rPr>
  </w:style>
  <w:style w:type="character" w:styleId="857">
    <w:name w:val="Подзаголовок Знак"/>
    <w:basedOn w:val="849"/>
    <w:next w:val="857"/>
    <w:link w:val="829"/>
    <w:rPr>
      <w:rFonts w:ascii="Times New Roman" w:hAnsi="Times New Roman" w:eastAsia="Times New Roman" w:cs="Times New Roman"/>
      <w:b/>
      <w:bCs/>
      <w:sz w:val="36"/>
      <w:szCs w:val="24"/>
    </w:rPr>
  </w:style>
  <w:style w:type="character" w:styleId="858">
    <w:name w:val="Hyperlink"/>
    <w:basedOn w:val="849"/>
    <w:next w:val="858"/>
    <w:link w:val="829"/>
    <w:rPr>
      <w:color w:val="0000ff"/>
      <w:u w:val="single"/>
    </w:rPr>
  </w:style>
  <w:style w:type="character" w:styleId="859">
    <w:name w:val="bumpedfont15"/>
    <w:basedOn w:val="849"/>
    <w:next w:val="859"/>
    <w:link w:val="829"/>
  </w:style>
  <w:style w:type="character" w:styleId="860">
    <w:name w:val="Обычный (веб) Знак"/>
    <w:basedOn w:val="849"/>
    <w:next w:val="860"/>
    <w:link w:val="829"/>
    <w:rPr>
      <w:rFonts w:ascii="Times New Roman" w:hAnsi="Times New Roman" w:eastAsia="Times New Roman" w:cs="Times New Roman"/>
      <w:sz w:val="24"/>
      <w:szCs w:val="24"/>
    </w:rPr>
  </w:style>
  <w:style w:type="paragraph" w:styleId="861">
    <w:name w:val="Заголовок"/>
    <w:basedOn w:val="829"/>
    <w:next w:val="862"/>
    <w:link w:val="829"/>
    <w:pPr>
      <w:jc w:val="center"/>
    </w:pPr>
    <w:rPr>
      <w:sz w:val="32"/>
      <w:szCs w:val="20"/>
    </w:rPr>
  </w:style>
  <w:style w:type="paragraph" w:styleId="862">
    <w:name w:val="Body Text"/>
    <w:basedOn w:val="829"/>
    <w:next w:val="862"/>
    <w:link w:val="829"/>
    <w:pPr>
      <w:spacing w:before="0" w:after="140" w:line="276" w:lineRule="auto"/>
    </w:pPr>
  </w:style>
  <w:style w:type="paragraph" w:styleId="863">
    <w:name w:val="List"/>
    <w:basedOn w:val="862"/>
    <w:next w:val="863"/>
    <w:link w:val="829"/>
    <w:rPr>
      <w:rFonts w:cs="Arial"/>
    </w:rPr>
  </w:style>
  <w:style w:type="paragraph" w:styleId="864">
    <w:name w:val="Caption"/>
    <w:basedOn w:val="829"/>
    <w:next w:val="864"/>
    <w:link w:val="829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65">
    <w:name w:val="Указатель"/>
    <w:basedOn w:val="829"/>
    <w:next w:val="865"/>
    <w:link w:val="829"/>
    <w:pPr>
      <w:suppressLineNumbers/>
    </w:pPr>
    <w:rPr>
      <w:rFonts w:cs="Arial"/>
    </w:rPr>
  </w:style>
  <w:style w:type="paragraph" w:styleId="866">
    <w:name w:val="Caption1"/>
    <w:basedOn w:val="829"/>
    <w:next w:val="866"/>
    <w:link w:val="829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67">
    <w:name w:val="Caption11"/>
    <w:basedOn w:val="829"/>
    <w:next w:val="867"/>
    <w:link w:val="829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68">
    <w:name w:val="Caption111"/>
    <w:basedOn w:val="829"/>
    <w:next w:val="868"/>
    <w:link w:val="829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69">
    <w:name w:val="Колонтитул"/>
    <w:basedOn w:val="829"/>
    <w:next w:val="869"/>
    <w:link w:val="829"/>
    <w:pPr>
      <w:tabs>
        <w:tab w:val="center" w:pos="4819" w:leader="none"/>
        <w:tab w:val="right" w:pos="9638" w:leader="none"/>
      </w:tabs>
      <w:suppressLineNumbers/>
    </w:pPr>
  </w:style>
  <w:style w:type="paragraph" w:styleId="870">
    <w:name w:val="Footer"/>
    <w:basedOn w:val="829"/>
    <w:next w:val="870"/>
    <w:link w:val="829"/>
    <w:rPr>
      <w:lang w:val="en-US"/>
    </w:rPr>
  </w:style>
  <w:style w:type="paragraph" w:styleId="871">
    <w:name w:val="Без интервала"/>
    <w:next w:val="871"/>
    <w:link w:val="829"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72">
    <w:name w:val="Body Text Indent"/>
    <w:basedOn w:val="829"/>
    <w:next w:val="872"/>
    <w:pPr>
      <w:ind w:left="-180" w:right="0" w:firstLine="0"/>
      <w:jc w:val="both"/>
    </w:pPr>
    <w:rPr>
      <w:lang w:val="en-US"/>
    </w:rPr>
  </w:style>
  <w:style w:type="paragraph" w:styleId="873">
    <w:name w:val="ConsPlusNormal"/>
    <w:next w:val="873"/>
    <w:link w:val="829"/>
    <w:pPr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874">
    <w:name w:val="ConsPlusCell"/>
    <w:next w:val="874"/>
    <w:link w:val="829"/>
    <w:pPr>
      <w:widowControl w:val="off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75">
    <w:name w:val="ConsPlusNonformat"/>
    <w:next w:val="875"/>
    <w:link w:val="829"/>
    <w:pPr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876">
    <w:name w:val="Абзац списка"/>
    <w:basedOn w:val="829"/>
    <w:next w:val="876"/>
    <w:link w:val="829"/>
    <w:pPr>
      <w:contextualSpacing/>
      <w:ind w:left="720" w:right="0" w:firstLine="0"/>
      <w:spacing w:before="0" w:after="0"/>
    </w:pPr>
    <w:rPr>
      <w:sz w:val="20"/>
      <w:szCs w:val="20"/>
    </w:rPr>
  </w:style>
  <w:style w:type="paragraph" w:styleId="877">
    <w:name w:val="Основной текст 2"/>
    <w:basedOn w:val="829"/>
    <w:next w:val="877"/>
    <w:link w:val="829"/>
    <w:pPr>
      <w:spacing w:before="0" w:after="120" w:line="480" w:lineRule="auto"/>
    </w:pPr>
    <w:rPr>
      <w:lang w:val="en-US"/>
    </w:rPr>
  </w:style>
  <w:style w:type="paragraph" w:styleId="878">
    <w:name w:val="Header"/>
    <w:basedOn w:val="829"/>
    <w:next w:val="878"/>
    <w:link w:val="829"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879">
    <w:name w:val="Обычный (веб)"/>
    <w:basedOn w:val="829"/>
    <w:next w:val="879"/>
    <w:link w:val="829"/>
    <w:pPr>
      <w:spacing w:before="280" w:after="280"/>
    </w:pPr>
  </w:style>
  <w:style w:type="paragraph" w:styleId="880">
    <w:name w:val="Subtitle"/>
    <w:basedOn w:val="829"/>
    <w:next w:val="862"/>
    <w:link w:val="829"/>
    <w:pPr>
      <w:ind w:left="2124" w:right="0" w:firstLine="0"/>
    </w:pPr>
    <w:rPr>
      <w:b/>
      <w:bCs/>
      <w:sz w:val="36"/>
    </w:rPr>
  </w:style>
  <w:style w:type="paragraph" w:styleId="881">
    <w:name w:val="Содержимое таблицы"/>
    <w:basedOn w:val="829"/>
    <w:next w:val="881"/>
    <w:link w:val="829"/>
    <w:pPr>
      <w:widowControl w:val="off"/>
      <w:suppressLineNumbers/>
    </w:pPr>
  </w:style>
  <w:style w:type="paragraph" w:styleId="882">
    <w:name w:val="Заголовок таблицы"/>
    <w:basedOn w:val="881"/>
    <w:next w:val="882"/>
    <w:link w:val="829"/>
    <w:pPr>
      <w:jc w:val="center"/>
      <w:suppressLineNumbers/>
    </w:pPr>
    <w:rPr>
      <w:b/>
      <w:bCs/>
    </w:rPr>
  </w:style>
  <w:style w:type="character" w:styleId="883" w:default="1">
    <w:name w:val="Default Paragraph Font"/>
    <w:uiPriority w:val="1"/>
    <w:semiHidden/>
    <w:unhideWhenUsed/>
  </w:style>
  <w:style w:type="numbering" w:styleId="88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sidorenkova_em</dc:creator>
  <cp:lastModifiedBy>user</cp:lastModifiedBy>
  <cp:revision>13</cp:revision>
  <dcterms:created xsi:type="dcterms:W3CDTF">2023-07-18T14:12:00Z</dcterms:created>
  <dcterms:modified xsi:type="dcterms:W3CDTF">2026-07-10T08:33:38Z</dcterms:modified>
</cp:coreProperties>
</file>