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61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lang w:val="en-US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2"/>
        <w:jc w:val="center"/>
        <w:rPr>
          <w:rFonts w:ascii="Times New Roman" w:hAnsi="Times New Roman" w:cs="Times New Roman"/>
          <w:sz w:val="28"/>
          <w:szCs w:val="28"/>
        </w:rPr>
      </w:pPr>
      <w:r/>
      <w:bookmarkStart w:id="0" w:name="Par555"/>
      <w:r/>
      <w:bookmarkEnd w:id="0"/>
      <w:r>
        <w:rPr>
          <w:rFonts w:ascii="Times New Roman" w:hAnsi="Times New Roman" w:cs="Times New Roman"/>
          <w:sz w:val="28"/>
          <w:szCs w:val="28"/>
          <w:lang w:val="ru-RU"/>
        </w:rPr>
        <w:t xml:space="preserve">Форма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оперативного (годового) отчета о реализации мероприятий муниципальной программы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2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Синявинского городского поселения Кировского муниципального района Ленинградской области    </w:t>
      </w:r>
      <w:r>
        <w:rPr>
          <w:rFonts w:ascii="Times New Roman" w:hAnsi="Times New Roman" w:cs="Times New Roman"/>
          <w:sz w:val="28"/>
          <w:szCs w:val="28"/>
          <w:u w:val="single"/>
        </w:rPr>
      </w:r>
      <w:r>
        <w:rPr>
          <w:rFonts w:ascii="Times New Roman" w:hAnsi="Times New Roman" w:cs="Times New Roman"/>
          <w:sz w:val="28"/>
          <w:szCs w:val="28"/>
          <w:u w:val="single"/>
        </w:rPr>
      </w:r>
    </w:p>
    <w:p>
      <w:pPr>
        <w:pStyle w:val="912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«</w:t>
      </w:r>
      <w:r>
        <w:rPr>
          <w:rFonts w:ascii="Times New Roman" w:hAnsi="Times New Roman" w:cs="Times New Roman"/>
          <w:b w:val="0"/>
          <w:bCs w:val="0"/>
          <w:sz w:val="28"/>
          <w:szCs w:val="28"/>
          <w:u w:val="single"/>
          <w:lang w:val="ru-RU"/>
        </w:rPr>
        <w:t xml:space="preserve">Охрана окружающей среды</w:t>
      </w: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на территории Синявинского городского поселения </w:t>
      </w:r>
      <w:r>
        <w:rPr>
          <w:rFonts w:ascii="Times New Roman" w:hAnsi="Times New Roman" w:cs="Times New Roman"/>
          <w:sz w:val="28"/>
          <w:szCs w:val="28"/>
          <w:u w:val="single"/>
        </w:rPr>
      </w:r>
      <w:r>
        <w:rPr>
          <w:rFonts w:ascii="Times New Roman" w:hAnsi="Times New Roman" w:cs="Times New Roman"/>
          <w:sz w:val="28"/>
          <w:szCs w:val="28"/>
          <w:u w:val="single"/>
        </w:rPr>
      </w:r>
    </w:p>
    <w:p>
      <w:pPr>
        <w:pStyle w:val="91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Кировского муниципального района Ленинградской области на 2026-2028 годы»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(наименование муниципальной программы)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за январь – июнь 2026 года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W w:w="0" w:type="auto"/>
        <w:tblInd w:w="-9" w:type="dxa"/>
        <w:tblLayout w:type="fixed"/>
        <w:tblCellMar>
          <w:left w:w="75" w:type="dxa"/>
          <w:top w:w="0" w:type="dxa"/>
          <w:right w:w="75" w:type="dxa"/>
          <w:bottom w:w="0" w:type="dxa"/>
        </w:tblCellMar>
        <w:tblLook w:val="04A0" w:firstRow="1" w:lastRow="0" w:firstColumn="1" w:lastColumn="0" w:noHBand="0" w:noVBand="1"/>
      </w:tblPr>
      <w:tblGrid>
        <w:gridCol w:w="5470"/>
        <w:gridCol w:w="3402"/>
        <w:gridCol w:w="3402"/>
        <w:gridCol w:w="2837"/>
        <w:gridCol w:w="9"/>
      </w:tblGrid>
      <w:tr>
        <w:tblPrEx/>
        <w:trPr>
          <w:gridAfter w:val="1"/>
          <w:trHeight w:val="60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70" w:type="dxa"/>
            <w:vAlign w:val="top"/>
            <w:textDirection w:val="lrTb"/>
            <w:noWrap w:val="false"/>
          </w:tcPr>
          <w:p>
            <w:pPr>
              <w:pStyle w:val="911"/>
              <w:jc w:val="center"/>
            </w:pPr>
            <w:r>
              <w:t xml:space="preserve">Наименования подпрограммы,  </w:t>
            </w:r>
            <w:r/>
          </w:p>
          <w:p>
            <w:pPr>
              <w:pStyle w:val="911"/>
              <w:jc w:val="center"/>
            </w:pPr>
            <w:r>
              <w:t xml:space="preserve">проекта, структурного элемента, мероприятия </w:t>
            </w:r>
            <w:r/>
          </w:p>
          <w:p>
            <w:pPr>
              <w:pStyle w:val="911"/>
              <w:jc w:val="center"/>
            </w:pPr>
            <w:r>
              <w:t xml:space="preserve">(с указанием  порядкового номера)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vAlign w:val="top"/>
            <w:textDirection w:val="lrTb"/>
            <w:noWrap w:val="false"/>
          </w:tcPr>
          <w:p>
            <w:pPr>
              <w:pStyle w:val="911"/>
              <w:jc w:val="center"/>
            </w:pPr>
            <w:r>
              <w:t xml:space="preserve">Объем финансирования            </w:t>
              <w:br w:type="textWrapping" w:clear="all"/>
              <w:t xml:space="preserve">на 2026 год (тыс. руб.)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vAlign w:val="top"/>
            <w:textDirection w:val="lrTb"/>
            <w:noWrap w:val="false"/>
          </w:tcPr>
          <w:p>
            <w:pPr>
              <w:pStyle w:val="911"/>
              <w:jc w:val="center"/>
            </w:pPr>
            <w:r>
              <w:t xml:space="preserve">Выполнено</w:t>
              <w:br w:type="textWrapping" w:clear="all"/>
              <w:t xml:space="preserve">(тыс. руб.)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7" w:type="dxa"/>
            <w:vAlign w:val="top"/>
            <w:textDirection w:val="lrTb"/>
            <w:noWrap w:val="false"/>
          </w:tcPr>
          <w:p>
            <w:pPr>
              <w:pStyle w:val="911"/>
              <w:jc w:val="center"/>
            </w:pPr>
            <w:r>
              <w:t xml:space="preserve">Профинансировано</w:t>
              <w:br w:type="textWrapping" w:clear="all"/>
              <w:t xml:space="preserve">(тыс. руб.)</w:t>
            </w:r>
            <w:r/>
          </w:p>
        </w:tc>
      </w:tr>
      <w:tr>
        <w:tblPrEx/>
        <w:trPr>
          <w:gridAfter w:val="1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70" w:type="dxa"/>
            <w:vAlign w:val="top"/>
            <w:textDirection w:val="lrTb"/>
            <w:noWrap w:val="false"/>
          </w:tcPr>
          <w:p>
            <w:pPr>
              <w:pStyle w:val="911"/>
              <w:jc w:val="center"/>
            </w:pPr>
            <w:r>
              <w:t xml:space="preserve">1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vAlign w:val="top"/>
            <w:textDirection w:val="lrTb"/>
            <w:noWrap w:val="false"/>
          </w:tcPr>
          <w:p>
            <w:pPr>
              <w:pStyle w:val="911"/>
              <w:jc w:val="center"/>
            </w:pPr>
            <w:r>
              <w:t xml:space="preserve">2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vAlign w:val="top"/>
            <w:textDirection w:val="lrTb"/>
            <w:noWrap w:val="false"/>
          </w:tcPr>
          <w:p>
            <w:pPr>
              <w:pStyle w:val="911"/>
              <w:jc w:val="center"/>
            </w:pPr>
            <w:r>
              <w:t xml:space="preserve">3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7" w:type="dxa"/>
            <w:vAlign w:val="top"/>
            <w:textDirection w:val="lrTb"/>
            <w:noWrap w:val="false"/>
          </w:tcPr>
          <w:p>
            <w:pPr>
              <w:pStyle w:val="911"/>
              <w:jc w:val="center"/>
            </w:pPr>
            <w:r>
              <w:t xml:space="preserve">5</w:t>
            </w:r>
            <w:r/>
          </w:p>
        </w:tc>
      </w:tr>
      <w:tr>
        <w:tblPrEx/>
        <w:trPr>
          <w:gridAfter w:val="1"/>
          <w:trHeight w:val="44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70" w:type="dxa"/>
            <w:vAlign w:val="top"/>
            <w:textDirection w:val="lrTb"/>
            <w:noWrap w:val="false"/>
          </w:tcPr>
          <w:p>
            <w:pPr>
              <w:pStyle w:val="910"/>
            </w:pPr>
            <w:r>
              <w:rPr>
                <w:rFonts w:ascii="Times New Roman" w:hAnsi="Times New Roman" w:cs="Times New Roman"/>
                <w:sz w:val="24"/>
                <w:szCs w:val="24"/>
                <w:u w:val="none"/>
                <w:lang w:val="ru-RU"/>
              </w:rPr>
              <w:t xml:space="preserve">Использование и охрана земель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 территории  Синявинского городского поселения Кировского муниципального района Ленинградской области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vAlign w:val="top"/>
            <w:textDirection w:val="lrTb"/>
            <w:noWrap w:val="false"/>
          </w:tcPr>
          <w:p>
            <w:pPr>
              <w:pStyle w:val="911"/>
              <w:jc w:val="center"/>
            </w:pPr>
            <w:r>
              <w:t xml:space="preserve">300,00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vAlign w:val="top"/>
            <w:textDirection w:val="lrTb"/>
            <w:noWrap w:val="false"/>
          </w:tcPr>
          <w:p>
            <w:pPr>
              <w:pStyle w:val="911"/>
              <w:jc w:val="center"/>
            </w:pPr>
            <w:r>
              <w:t xml:space="preserve">0</w:t>
            </w:r>
            <w:r/>
          </w:p>
          <w:p>
            <w:pPr>
              <w:pStyle w:val="911"/>
              <w:jc w:val="center"/>
            </w:pPr>
            <w:r/>
            <w:r/>
          </w:p>
          <w:p>
            <w:pPr>
              <w:pStyle w:val="911"/>
              <w:jc w:val="left"/>
            </w:pPr>
            <w:r>
              <w:t xml:space="preserve">   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7" w:type="dxa"/>
            <w:vAlign w:val="top"/>
            <w:textDirection w:val="lrTb"/>
            <w:noWrap w:val="false"/>
          </w:tcPr>
          <w:p>
            <w:pPr>
              <w:pStyle w:val="911"/>
              <w:jc w:val="center"/>
            </w:pPr>
            <w:r>
              <w:t xml:space="preserve">0</w:t>
            </w:r>
            <w:r/>
          </w:p>
        </w:tc>
      </w:tr>
      <w:tr>
        <w:tblPrEx/>
        <w:trPr>
          <w:gridAfter w:val="1"/>
          <w:trHeight w:val="261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70" w:type="dxa"/>
            <w:vAlign w:val="top"/>
            <w:textDirection w:val="lrTb"/>
            <w:noWrap w:val="false"/>
          </w:tcPr>
          <w:p>
            <w:pPr>
              <w:pStyle w:val="911"/>
            </w:pPr>
            <w:r>
              <w:t xml:space="preserve">Средства бюджета городского поселения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vAlign w:val="top"/>
            <w:textDirection w:val="lrTb"/>
            <w:noWrap w:val="false"/>
          </w:tcPr>
          <w:p>
            <w:pPr>
              <w:pStyle w:val="911"/>
              <w:jc w:val="center"/>
            </w:pPr>
            <w:r>
              <w:t xml:space="preserve">300,00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vAlign w:val="top"/>
            <w:textDirection w:val="lrTb"/>
            <w:noWrap w:val="false"/>
          </w:tcPr>
          <w:p>
            <w:pPr>
              <w:pStyle w:val="911"/>
              <w:jc w:val="center"/>
            </w:pPr>
            <w: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7" w:type="dxa"/>
            <w:vAlign w:val="top"/>
            <w:textDirection w:val="lrTb"/>
            <w:noWrap w:val="false"/>
          </w:tcPr>
          <w:p>
            <w:pPr>
              <w:pStyle w:val="911"/>
              <w:jc w:val="center"/>
            </w:pPr>
            <w:r>
              <w:t xml:space="preserve">0</w:t>
            </w:r>
            <w:r/>
          </w:p>
        </w:tc>
      </w:tr>
      <w:tr>
        <w:tblPrEx/>
        <w:trPr>
          <w:gridAfter w:val="1"/>
          <w:trHeight w:val="400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70" w:type="dxa"/>
            <w:vAlign w:val="top"/>
            <w:textDirection w:val="lrTb"/>
            <w:noWrap w:val="false"/>
          </w:tcPr>
          <w:p>
            <w:pPr>
              <w:pStyle w:val="911"/>
            </w:pPr>
            <w:r>
              <w:t xml:space="preserve">Средства иных бюджетов               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vAlign w:val="top"/>
            <w:textDirection w:val="lrTb"/>
            <w:noWrap w:val="false"/>
          </w:tcPr>
          <w:p>
            <w:pPr>
              <w:pStyle w:val="911"/>
              <w:jc w:val="center"/>
            </w:pPr>
            <w:r>
              <w:t xml:space="preserve">-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vAlign w:val="top"/>
            <w:textDirection w:val="lrTb"/>
            <w:noWrap w:val="false"/>
          </w:tcPr>
          <w:p>
            <w:pPr>
              <w:pStyle w:val="911"/>
              <w:jc w:val="center"/>
            </w:pPr>
            <w:r>
              <w:t xml:space="preserve">-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7" w:type="dxa"/>
            <w:vAlign w:val="top"/>
            <w:textDirection w:val="lrTb"/>
            <w:noWrap w:val="false"/>
          </w:tcPr>
          <w:p>
            <w:pPr>
              <w:pStyle w:val="911"/>
              <w:jc w:val="center"/>
            </w:pPr>
            <w:r>
              <w:t xml:space="preserve">-</w:t>
            </w:r>
            <w:r/>
          </w:p>
        </w:tc>
      </w:tr>
      <w:tr>
        <w:tblPrEx/>
        <w:trPr>
          <w:gridAfter w:val="1"/>
          <w:trHeight w:val="372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70" w:type="dxa"/>
            <w:vAlign w:val="top"/>
            <w:textDirection w:val="lrTb"/>
            <w:noWrap w:val="false"/>
          </w:tcPr>
          <w:p>
            <w:pPr>
              <w:pStyle w:val="911"/>
            </w:pPr>
            <w:r>
              <w:t xml:space="preserve">Внебюджетные источники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vAlign w:val="top"/>
            <w:textDirection w:val="lrTb"/>
            <w:noWrap w:val="false"/>
          </w:tcPr>
          <w:p>
            <w:pPr>
              <w:pStyle w:val="911"/>
              <w:jc w:val="center"/>
            </w:pPr>
            <w:r>
              <w:t xml:space="preserve">-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vAlign w:val="top"/>
            <w:textDirection w:val="lrTb"/>
            <w:noWrap w:val="false"/>
          </w:tcPr>
          <w:p>
            <w:pPr>
              <w:pStyle w:val="911"/>
              <w:jc w:val="center"/>
            </w:pPr>
            <w:r>
              <w:t xml:space="preserve">-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7" w:type="dxa"/>
            <w:vAlign w:val="top"/>
            <w:textDirection w:val="lrTb"/>
            <w:noWrap w:val="false"/>
          </w:tcPr>
          <w:p>
            <w:pPr>
              <w:pStyle w:val="911"/>
              <w:jc w:val="center"/>
            </w:pPr>
            <w:r>
              <w:t xml:space="preserve">-</w:t>
            </w:r>
            <w:r/>
          </w:p>
        </w:tc>
      </w:tr>
      <w:tr>
        <w:tblPrEx/>
        <w:trPr>
          <w:gridAfter w:val="1"/>
          <w:trHeight w:val="576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70" w:type="dxa"/>
            <w:vAlign w:val="top"/>
            <w:textDirection w:val="lrTb"/>
            <w:noWrap w:val="false"/>
          </w:tcPr>
          <w:p>
            <w:pPr>
              <w:pStyle w:val="911"/>
            </w:pPr>
            <w:r>
              <w:rPr>
                <w:color w:val="000000"/>
                <w:lang w:val="ru-RU"/>
              </w:rPr>
              <w:t xml:space="preserve">1. Обращения с отходами производства и потребления на территории поселения: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vAlign w:val="top"/>
            <w:textDirection w:val="lrTb"/>
            <w:noWrap w:val="false"/>
          </w:tcPr>
          <w:p>
            <w:pPr>
              <w:pStyle w:val="911"/>
              <w:jc w:val="center"/>
            </w:pPr>
            <w:r>
              <w:t xml:space="preserve">-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vAlign w:val="top"/>
            <w:textDirection w:val="lrTb"/>
            <w:noWrap w:val="false"/>
          </w:tcPr>
          <w:p>
            <w:pPr>
              <w:pStyle w:val="911"/>
              <w:jc w:val="center"/>
            </w:pPr>
            <w:r>
              <w:t xml:space="preserve">-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7" w:type="dxa"/>
            <w:vAlign w:val="top"/>
            <w:textDirection w:val="lrTb"/>
            <w:noWrap w:val="false"/>
          </w:tcPr>
          <w:p>
            <w:pPr>
              <w:pStyle w:val="911"/>
              <w:jc w:val="center"/>
            </w:pPr>
            <w:r>
              <w:t xml:space="preserve">-</w:t>
            </w:r>
            <w:r/>
          </w:p>
        </w:tc>
      </w:tr>
      <w:tr>
        <w:tblPrEx/>
        <w:trPr>
          <w:gridAfter w:val="1"/>
          <w:trHeight w:val="2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70" w:type="dxa"/>
            <w:vAlign w:val="top"/>
            <w:textDirection w:val="lrTb"/>
            <w:noWrap w:val="false"/>
          </w:tcPr>
          <w:p>
            <w:pPr>
              <w:pStyle w:val="911"/>
            </w:pPr>
            <w:r>
              <w:t xml:space="preserve">Средства бюджета городского поселения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vAlign w:val="top"/>
            <w:textDirection w:val="lrTb"/>
            <w:noWrap w:val="false"/>
          </w:tcPr>
          <w:p>
            <w:pPr>
              <w:pStyle w:val="911"/>
              <w:jc w:val="center"/>
            </w:pPr>
            <w:r>
              <w:t xml:space="preserve">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vAlign w:val="top"/>
            <w:textDirection w:val="lrTb"/>
            <w:noWrap w:val="false"/>
          </w:tcPr>
          <w:p>
            <w:pPr>
              <w:pStyle w:val="911"/>
              <w:jc w:val="center"/>
            </w:pPr>
            <w:r>
              <w:t xml:space="preserve">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7" w:type="dxa"/>
            <w:vAlign w:val="top"/>
            <w:textDirection w:val="lrTb"/>
            <w:noWrap w:val="false"/>
          </w:tcPr>
          <w:p>
            <w:pPr>
              <w:pStyle w:val="911"/>
              <w:jc w:val="center"/>
            </w:pPr>
            <w:r>
              <w:t xml:space="preserve">-</w:t>
            </w:r>
            <w:r/>
          </w:p>
        </w:tc>
      </w:tr>
      <w:tr>
        <w:tblPrEx/>
        <w:trPr>
          <w:gridAfter w:val="1"/>
          <w:trHeight w:val="14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70" w:type="dxa"/>
            <w:vAlign w:val="top"/>
            <w:textDirection w:val="lrTb"/>
            <w:noWrap w:val="false"/>
          </w:tcPr>
          <w:p>
            <w:pPr>
              <w:pStyle w:val="911"/>
            </w:pPr>
            <w:r>
              <w:t xml:space="preserve">Средства иных бюджетов             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vAlign w:val="top"/>
            <w:textDirection w:val="lrTb"/>
            <w:noWrap w:val="false"/>
          </w:tcPr>
          <w:p>
            <w:pPr>
              <w:pStyle w:val="911"/>
              <w:jc w:val="center"/>
            </w:pPr>
            <w:r>
              <w:t xml:space="preserve">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vAlign w:val="top"/>
            <w:textDirection w:val="lrTb"/>
            <w:noWrap w:val="false"/>
          </w:tcPr>
          <w:p>
            <w:pPr>
              <w:pStyle w:val="911"/>
              <w:jc w:val="center"/>
            </w:pPr>
            <w:r>
              <w:t xml:space="preserve">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7" w:type="dxa"/>
            <w:vAlign w:val="top"/>
            <w:textDirection w:val="lrTb"/>
            <w:noWrap w:val="false"/>
          </w:tcPr>
          <w:p>
            <w:pPr>
              <w:pStyle w:val="911"/>
              <w:jc w:val="center"/>
            </w:pPr>
            <w:r>
              <w:t xml:space="preserve">-</w:t>
            </w:r>
            <w:r/>
          </w:p>
        </w:tc>
      </w:tr>
      <w:tr>
        <w:tblPrEx/>
        <w:trPr>
          <w:gridAfter w:val="1"/>
          <w:trHeight w:val="14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70" w:type="dxa"/>
            <w:vAlign w:val="top"/>
            <w:textDirection w:val="lrTb"/>
            <w:noWrap w:val="false"/>
          </w:tcPr>
          <w:p>
            <w:pPr>
              <w:pStyle w:val="911"/>
            </w:pPr>
            <w:r>
              <w:t xml:space="preserve">Внебюджетные источники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vAlign w:val="top"/>
            <w:textDirection w:val="lrTb"/>
            <w:noWrap w:val="false"/>
          </w:tcPr>
          <w:p>
            <w:pPr>
              <w:pStyle w:val="911"/>
              <w:jc w:val="center"/>
            </w:pPr>
            <w:r>
              <w:t xml:space="preserve">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vAlign w:val="top"/>
            <w:textDirection w:val="lrTb"/>
            <w:noWrap w:val="false"/>
          </w:tcPr>
          <w:p>
            <w:pPr>
              <w:pStyle w:val="911"/>
              <w:jc w:val="center"/>
            </w:pPr>
            <w:r>
              <w:t xml:space="preserve">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7" w:type="dxa"/>
            <w:vAlign w:val="top"/>
            <w:textDirection w:val="lrTb"/>
            <w:noWrap w:val="false"/>
          </w:tcPr>
          <w:p>
            <w:pPr>
              <w:pStyle w:val="911"/>
              <w:jc w:val="center"/>
            </w:pPr>
            <w:r>
              <w:t xml:space="preserve">-</w:t>
            </w:r>
            <w:r/>
          </w:p>
        </w:tc>
      </w:tr>
      <w:tr>
        <w:tblPrEx/>
        <w:trPr>
          <w:gridAfter w:val="1"/>
          <w:trHeight w:val="400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70" w:type="dxa"/>
            <w:vAlign w:val="top"/>
            <w:textDirection w:val="lrTb"/>
            <w:noWrap w:val="false"/>
          </w:tcPr>
          <w:p>
            <w:pPr>
              <w:pStyle w:val="911"/>
            </w:pPr>
            <w:r>
              <w:t xml:space="preserve">1.1. Ликвидация несанкционированных свалок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vAlign w:val="top"/>
            <w:textDirection w:val="lrTb"/>
            <w:noWrap w:val="false"/>
          </w:tcPr>
          <w:p>
            <w:pPr>
              <w:pStyle w:val="911"/>
              <w:jc w:val="center"/>
            </w:pPr>
            <w:r>
              <w:t xml:space="preserve">300,00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vAlign w:val="top"/>
            <w:textDirection w:val="lrTb"/>
            <w:noWrap w:val="false"/>
          </w:tcPr>
          <w:p>
            <w:pPr>
              <w:pStyle w:val="911"/>
              <w:jc w:val="center"/>
            </w:pPr>
            <w: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7" w:type="dxa"/>
            <w:vAlign w:val="top"/>
            <w:textDirection w:val="lrTb"/>
            <w:noWrap w:val="false"/>
          </w:tcPr>
          <w:p>
            <w:pPr>
              <w:pStyle w:val="911"/>
              <w:jc w:val="center"/>
            </w:pPr>
            <w:r>
              <w:t xml:space="preserve">0</w:t>
            </w:r>
            <w:r/>
          </w:p>
        </w:tc>
      </w:tr>
      <w:tr>
        <w:tblPrEx/>
        <w:trPr>
          <w:gridAfter w:val="1"/>
          <w:trHeight w:val="400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70" w:type="dxa"/>
            <w:vAlign w:val="top"/>
            <w:textDirection w:val="lrTb"/>
            <w:noWrap w:val="false"/>
          </w:tcPr>
          <w:p>
            <w:pPr>
              <w:pStyle w:val="911"/>
            </w:pPr>
            <w:r>
              <w:t xml:space="preserve">Средства бюджета городского поселения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vAlign w:val="top"/>
            <w:textDirection w:val="lrTb"/>
            <w:noWrap w:val="false"/>
          </w:tcPr>
          <w:p>
            <w:pPr>
              <w:pStyle w:val="911"/>
              <w:jc w:val="center"/>
            </w:pPr>
            <w:r>
              <w:t xml:space="preserve">300,00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vAlign w:val="top"/>
            <w:textDirection w:val="lrTb"/>
            <w:noWrap w:val="false"/>
          </w:tcPr>
          <w:p>
            <w:pPr>
              <w:pStyle w:val="911"/>
              <w:jc w:val="center"/>
            </w:pPr>
            <w: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7" w:type="dxa"/>
            <w:vAlign w:val="top"/>
            <w:textDirection w:val="lrTb"/>
            <w:noWrap w:val="false"/>
          </w:tcPr>
          <w:p>
            <w:pPr>
              <w:pStyle w:val="911"/>
              <w:jc w:val="center"/>
            </w:pPr>
            <w:r>
              <w:t xml:space="preserve">0</w:t>
            </w:r>
            <w:r/>
          </w:p>
        </w:tc>
      </w:tr>
      <w:tr>
        <w:tblPrEx/>
        <w:trPr>
          <w:gridAfter w:val="1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70" w:type="dxa"/>
            <w:vAlign w:val="top"/>
            <w:textDirection w:val="lrTb"/>
            <w:noWrap w:val="false"/>
          </w:tcPr>
          <w:p>
            <w:pPr>
              <w:pStyle w:val="911"/>
            </w:pPr>
            <w:r>
              <w:t xml:space="preserve">Средства иных бюджетов               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vAlign w:val="top"/>
            <w:textDirection w:val="lrTb"/>
            <w:noWrap w:val="false"/>
          </w:tcPr>
          <w:p>
            <w:pPr>
              <w:pStyle w:val="911"/>
              <w:jc w:val="center"/>
            </w:pPr>
            <w:r>
              <w:t xml:space="preserve">-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vAlign w:val="top"/>
            <w:textDirection w:val="lrTb"/>
            <w:noWrap w:val="false"/>
          </w:tcPr>
          <w:p>
            <w:pPr>
              <w:pStyle w:val="911"/>
              <w:jc w:val="center"/>
            </w:pPr>
            <w:r>
              <w:t xml:space="preserve">-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7" w:type="dxa"/>
            <w:vAlign w:val="top"/>
            <w:textDirection w:val="lrTb"/>
            <w:noWrap w:val="false"/>
          </w:tcPr>
          <w:p>
            <w:pPr>
              <w:pStyle w:val="911"/>
              <w:jc w:val="center"/>
            </w:pPr>
            <w:r>
              <w:t xml:space="preserve">-</w:t>
            </w:r>
            <w:r/>
          </w:p>
        </w:tc>
      </w:tr>
      <w:tr>
        <w:tblPrEx/>
        <w:trPr>
          <w:gridAfter w:val="1"/>
          <w:trHeight w:val="400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70" w:type="dxa"/>
            <w:vAlign w:val="top"/>
            <w:textDirection w:val="lrTb"/>
            <w:noWrap w:val="false"/>
          </w:tcPr>
          <w:p>
            <w:pPr>
              <w:pStyle w:val="911"/>
            </w:pPr>
            <w:r>
              <w:t xml:space="preserve">Внебюджетные источники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vAlign w:val="top"/>
            <w:textDirection w:val="lrTb"/>
            <w:noWrap w:val="false"/>
          </w:tcPr>
          <w:p>
            <w:pPr>
              <w:pStyle w:val="911"/>
              <w:jc w:val="center"/>
            </w:pPr>
            <w:r>
              <w:t xml:space="preserve">-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vAlign w:val="top"/>
            <w:textDirection w:val="lrTb"/>
            <w:noWrap w:val="false"/>
          </w:tcPr>
          <w:p>
            <w:pPr>
              <w:pStyle w:val="911"/>
              <w:jc w:val="center"/>
            </w:pPr>
            <w:r>
              <w:t xml:space="preserve">-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7" w:type="dxa"/>
            <w:vAlign w:val="top"/>
            <w:textDirection w:val="lrTb"/>
            <w:noWrap w:val="false"/>
          </w:tcPr>
          <w:p>
            <w:pPr>
              <w:pStyle w:val="911"/>
              <w:jc w:val="center"/>
            </w:pPr>
            <w:r>
              <w:t xml:space="preserve">-</w:t>
            </w:r>
            <w:r/>
          </w:p>
        </w:tc>
      </w:tr>
      <w:tr>
        <w:tblPrEx/>
        <w:trPr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70" w:type="dxa"/>
            <w:vAlign w:val="top"/>
            <w:textDirection w:val="lrTb"/>
            <w:noWrap w:val="false"/>
          </w:tcPr>
          <w:p>
            <w:pPr>
              <w:pStyle w:val="911"/>
            </w:pPr>
            <w:r>
              <w:t xml:space="preserve">2. Разъяснение гражданам земельного законодательства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vAlign w:val="top"/>
            <w:textDirection w:val="lrTb"/>
            <w:noWrap w:val="false"/>
          </w:tcPr>
          <w:p>
            <w:pPr>
              <w:pStyle w:val="911"/>
              <w:jc w:val="center"/>
            </w:pPr>
            <w:r>
              <w:t xml:space="preserve">-                          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vAlign w:val="top"/>
            <w:textDirection w:val="lrTb"/>
            <w:noWrap w:val="false"/>
          </w:tcPr>
          <w:p>
            <w:pPr>
              <w:pStyle w:val="911"/>
              <w:jc w:val="center"/>
            </w:pPr>
            <w:r>
              <w:t xml:space="preserve">-                          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46" w:type="dxa"/>
            <w:vAlign w:val="top"/>
            <w:textDirection w:val="lrTb"/>
            <w:noWrap w:val="false"/>
          </w:tcPr>
          <w:p>
            <w:pPr>
              <w:pStyle w:val="911"/>
              <w:jc w:val="center"/>
            </w:pPr>
            <w:r>
              <w:t xml:space="preserve">-                        </w:t>
            </w:r>
            <w:r/>
          </w:p>
        </w:tc>
      </w:tr>
      <w:tr>
        <w:tblPrEx/>
        <w:trPr>
          <w:trHeight w:val="810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70" w:type="dxa"/>
            <w:vAlign w:val="top"/>
            <w:textDirection w:val="lrTb"/>
            <w:noWrap w:val="false"/>
          </w:tcPr>
          <w:p>
            <w:pPr>
              <w:pStyle w:val="911"/>
            </w:pPr>
            <w:r>
              <w:t xml:space="preserve">3. Выявление пустующих и нерационального используемых земель и своевременное вовлечение их в хозяйственный оборот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vAlign w:val="top"/>
            <w:textDirection w:val="lrTb"/>
            <w:noWrap w:val="false"/>
          </w:tcPr>
          <w:p>
            <w:pPr>
              <w:pStyle w:val="911"/>
              <w:jc w:val="center"/>
            </w:pPr>
            <w:r>
              <w:t xml:space="preserve">-                            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vAlign w:val="top"/>
            <w:textDirection w:val="lrTb"/>
            <w:noWrap w:val="false"/>
          </w:tcPr>
          <w:p>
            <w:pPr>
              <w:pStyle w:val="911"/>
              <w:jc w:val="center"/>
            </w:pPr>
            <w:r>
              <w:t xml:space="preserve">-                                 </w:t>
            </w:r>
            <w:r/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46" w:type="dxa"/>
            <w:vAlign w:val="top"/>
            <w:textDirection w:val="lrTb"/>
            <w:noWrap w:val="false"/>
          </w:tcPr>
          <w:p>
            <w:pPr>
              <w:pStyle w:val="911"/>
              <w:jc w:val="center"/>
            </w:pPr>
            <w:r>
              <w:t xml:space="preserve">-                     </w:t>
            </w:r>
            <w:r/>
          </w:p>
        </w:tc>
      </w:tr>
      <w:tr>
        <w:tblPrEx/>
        <w:trPr>
          <w:trHeight w:val="430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70" w:type="dxa"/>
            <w:vAlign w:val="top"/>
            <w:textDirection w:val="lrTb"/>
            <w:noWrap w:val="false"/>
          </w:tcPr>
          <w:p>
            <w:pPr>
              <w:pStyle w:val="911"/>
            </w:pPr>
            <w:r>
              <w:t xml:space="preserve">4. Выявление фактов самовольного занятия земельных участков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vAlign w:val="top"/>
            <w:textDirection w:val="lrTb"/>
            <w:noWrap w:val="false"/>
          </w:tcPr>
          <w:p>
            <w:pPr>
              <w:pStyle w:val="911"/>
              <w:jc w:val="center"/>
            </w:pPr>
            <w:r>
              <w:t xml:space="preserve">-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vAlign w:val="top"/>
            <w:textDirection w:val="lrTb"/>
            <w:noWrap w:val="false"/>
          </w:tcPr>
          <w:p>
            <w:pPr>
              <w:pStyle w:val="911"/>
              <w:jc w:val="center"/>
            </w:pPr>
            <w:r>
              <w:t xml:space="preserve">-</w:t>
            </w:r>
            <w:r/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46" w:type="dxa"/>
            <w:vAlign w:val="top"/>
            <w:textDirection w:val="lrTb"/>
            <w:noWrap w:val="false"/>
          </w:tcPr>
          <w:p>
            <w:pPr>
              <w:pStyle w:val="911"/>
              <w:jc w:val="center"/>
            </w:pPr>
            <w:r>
              <w:t xml:space="preserve">-</w:t>
            </w:r>
            <w:r/>
          </w:p>
        </w:tc>
      </w:tr>
      <w:tr>
        <w:tblPrEx/>
        <w:trPr>
          <w:trHeight w:val="873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70" w:type="dxa"/>
            <w:vAlign w:val="top"/>
            <w:textDirection w:val="lrTb"/>
            <w:noWrap w:val="false"/>
          </w:tcPr>
          <w:p>
            <w:pPr>
              <w:pStyle w:val="911"/>
            </w:pPr>
            <w:r>
              <w:t xml:space="preserve">5. Выявление фактов использования земельных участков, приводящих к значительному ухудшению экологической обстановки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vAlign w:val="top"/>
            <w:textDirection w:val="lrTb"/>
            <w:noWrap w:val="false"/>
          </w:tcPr>
          <w:p>
            <w:pPr>
              <w:pStyle w:val="911"/>
              <w:jc w:val="center"/>
            </w:pPr>
            <w:r>
              <w:t xml:space="preserve">-</w:t>
            </w:r>
            <w:r/>
          </w:p>
          <w:p>
            <w:pPr>
              <w:pStyle w:val="911"/>
              <w:jc w:val="left"/>
            </w:pPr>
            <w:r>
              <w:t xml:space="preserve">                                              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vAlign w:val="top"/>
            <w:textDirection w:val="lrTb"/>
            <w:noWrap w:val="false"/>
          </w:tcPr>
          <w:p>
            <w:pPr>
              <w:pStyle w:val="911"/>
              <w:jc w:val="center"/>
            </w:pPr>
            <w:r>
              <w:t xml:space="preserve">-                          </w:t>
            </w:r>
            <w:r/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46" w:type="dxa"/>
            <w:vAlign w:val="top"/>
            <w:textDirection w:val="lrTb"/>
            <w:noWrap w:val="false"/>
          </w:tcPr>
          <w:p>
            <w:pPr>
              <w:pStyle w:val="911"/>
              <w:jc w:val="center"/>
            </w:pPr>
            <w:r>
              <w:t xml:space="preserve">-                     </w:t>
            </w:r>
            <w:r/>
          </w:p>
        </w:tc>
      </w:tr>
    </w:tbl>
    <w:p>
      <w:pPr>
        <w:pStyle w:val="861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lang w:val="ru-RU"/>
        </w:rPr>
      </w:r>
      <w:r>
        <w:rPr>
          <w:rFonts w:cs="Times New Roman"/>
          <w:sz w:val="24"/>
          <w:szCs w:val="24"/>
        </w:rPr>
      </w:r>
      <w:r>
        <w:rPr>
          <w:rFonts w:cs="Times New Roman"/>
          <w:sz w:val="24"/>
          <w:szCs w:val="24"/>
        </w:rPr>
      </w:r>
    </w:p>
    <w:p>
      <w:pPr>
        <w:pStyle w:val="91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2"/>
        <w:ind w:right="-510"/>
        <w:jc w:val="left"/>
        <w:widowControl w:val="off"/>
        <w:rPr>
          <w:rFonts w:eastAsia="Courier New"/>
        </w:rPr>
      </w:pPr>
      <w:r>
        <w:rPr>
          <w:rFonts w:ascii="Times New Roman" w:hAnsi="Times New Roman" w:eastAsia="Courier New" w:cs="Times New Roman"/>
          <w:sz w:val="24"/>
          <w:szCs w:val="24"/>
          <w:highlight w:val="none"/>
          <w:lang w:val="ru-RU"/>
        </w:rPr>
      </w:r>
      <w:r>
        <w:rPr>
          <w:rFonts w:ascii="Times New Roman" w:hAnsi="Times New Roman" w:eastAsia="Courier New" w:cs="Times New Roman"/>
          <w:sz w:val="24"/>
          <w:szCs w:val="24"/>
          <w:highlight w:val="none"/>
          <w:lang w:val="ru-RU"/>
        </w:rPr>
      </w:r>
    </w:p>
    <w:p>
      <w:pPr>
        <w:pStyle w:val="912"/>
        <w:ind w:right="-510"/>
        <w:jc w:val="left"/>
        <w:widowControl w:val="off"/>
        <w:rPr>
          <w:rFonts w:ascii="Times New Roman" w:hAnsi="Times New Roman" w:eastAsia="Courier New" w:cs="Times New Roman"/>
          <w:sz w:val="24"/>
          <w:szCs w:val="24"/>
          <w:highlight w:val="none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Ответственный  исполнитель Гагарина В.А.                                                                                                 </w:t>
      </w:r>
      <w:r>
        <w:rPr>
          <w:rFonts w:ascii="Times New Roman" w:hAnsi="Times New Roman" w:eastAsia="Courier New" w:cs="Times New Roman"/>
          <w:sz w:val="24"/>
          <w:szCs w:val="24"/>
          <w:lang w:val="ru-RU"/>
        </w:rPr>
        <w:t xml:space="preserve">Руководитель                               Хоменок Е.В.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Courier New"/>
        </w:rPr>
      </w:r>
      <w:r>
        <w:rPr>
          <w:rFonts w:ascii="Times New Roman" w:hAnsi="Times New Roman" w:eastAsia="Courier New" w:cs="Times New Roman"/>
          <w:sz w:val="24"/>
          <w:szCs w:val="24"/>
          <w:highlight w:val="none"/>
          <w:lang w:val="ru-RU"/>
        </w:rPr>
      </w:r>
    </w:p>
    <w:p>
      <w:pPr>
        <w:pStyle w:val="912"/>
        <w:rPr>
          <w:rFonts w:eastAsia="Courier New"/>
        </w:rPr>
      </w:pPr>
      <w:r>
        <w:rPr>
          <w:rFonts w:eastAsia="Courier New"/>
          <w:lang w:val="ru-RU"/>
        </w:rPr>
        <w:t xml:space="preserve">                                                               </w:t>
      </w:r>
      <w:r>
        <w:rPr>
          <w:rFonts w:eastAsia="Courier New"/>
        </w:rPr>
      </w:r>
      <w:r>
        <w:rPr>
          <w:rFonts w:eastAsia="Courier New"/>
        </w:rPr>
      </w:r>
    </w:p>
    <w:p>
      <w:pPr>
        <w:pStyle w:val="912"/>
        <w:rPr>
          <w:rFonts w:cs="Times New Roman"/>
          <w:sz w:val="24"/>
          <w:szCs w:val="24"/>
        </w:rPr>
      </w:pPr>
      <w:r>
        <w:rPr>
          <w:rFonts w:eastAsia="Courier New"/>
          <w:lang w:val="ru-RU"/>
        </w:rPr>
        <w:t xml:space="preserve">                                                                                   </w:t>
      </w:r>
      <w:r>
        <w:rPr>
          <w:rFonts w:cs="Times New Roman"/>
          <w:sz w:val="24"/>
          <w:szCs w:val="24"/>
        </w:rPr>
      </w:r>
      <w:r>
        <w:rPr>
          <w:rFonts w:cs="Times New Roman"/>
          <w:sz w:val="24"/>
          <w:szCs w:val="24"/>
        </w:rPr>
      </w:r>
    </w:p>
    <w:p>
      <w:pPr>
        <w:pStyle w:val="861"/>
        <w:widowControl w:val="off"/>
        <w:rPr>
          <w:rFonts w:cs="Calibri"/>
          <w:sz w:val="24"/>
          <w:szCs w:val="24"/>
        </w:rPr>
      </w:pPr>
      <w:r>
        <w:rPr>
          <w:rFonts w:cs="Times New Roman"/>
          <w:sz w:val="24"/>
          <w:szCs w:val="24"/>
          <w:lang w:val="ru-RU"/>
        </w:rPr>
        <w:t xml:space="preserve">Согласовано:                            Макаричева Е.В.</w:t>
      </w:r>
      <w:r>
        <w:rPr>
          <w:rFonts w:cs="Calibri"/>
          <w:sz w:val="24"/>
          <w:szCs w:val="24"/>
        </w:rPr>
      </w:r>
      <w:r>
        <w:rPr>
          <w:rFonts w:cs="Calibri"/>
          <w:sz w:val="24"/>
          <w:szCs w:val="24"/>
        </w:rPr>
      </w:r>
    </w:p>
    <w:p>
      <w:pPr>
        <w:pStyle w:val="912"/>
        <w:jc w:val="left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  <w:lang w:val="ru-RU"/>
        </w:rPr>
      </w:r>
      <w:r>
        <w:rPr>
          <w:rFonts w:cs="Calibri"/>
          <w:sz w:val="24"/>
          <w:szCs w:val="24"/>
        </w:rPr>
      </w:r>
      <w:r>
        <w:rPr>
          <w:rFonts w:cs="Calibri"/>
          <w:sz w:val="24"/>
          <w:szCs w:val="24"/>
        </w:rPr>
      </w:r>
    </w:p>
    <w:p>
      <w:pPr>
        <w:pStyle w:val="912"/>
        <w:jc w:val="left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  <w:lang w:val="ru-RU"/>
        </w:rPr>
      </w:r>
      <w:r>
        <w:rPr>
          <w:rFonts w:cs="Calibri"/>
          <w:sz w:val="24"/>
          <w:szCs w:val="24"/>
        </w:rPr>
      </w:r>
      <w:r>
        <w:rPr>
          <w:rFonts w:cs="Calibri"/>
          <w:sz w:val="24"/>
          <w:szCs w:val="24"/>
        </w:rPr>
      </w:r>
    </w:p>
    <w:p>
      <w:pPr>
        <w:pStyle w:val="912"/>
        <w:jc w:val="left"/>
        <w:rPr>
          <w:rFonts w:eastAsia="Courier New" w:cs="Courier New"/>
          <w:sz w:val="24"/>
          <w:szCs w:val="24"/>
        </w:rPr>
      </w:pPr>
      <w:r>
        <w:rPr>
          <w:rFonts w:eastAsia="Courier New" w:cs="Courier New"/>
          <w:sz w:val="24"/>
          <w:szCs w:val="24"/>
          <w:lang w:val="ru-RU"/>
        </w:rPr>
        <w:t xml:space="preserve">                                                                   </w:t>
      </w:r>
      <w:r>
        <w:rPr>
          <w:rFonts w:eastAsia="Courier New" w:cs="Courier New"/>
          <w:sz w:val="24"/>
          <w:szCs w:val="24"/>
        </w:rPr>
      </w:r>
      <w:r>
        <w:rPr>
          <w:rFonts w:eastAsia="Courier New" w:cs="Courier New"/>
          <w:sz w:val="24"/>
          <w:szCs w:val="24"/>
        </w:rPr>
      </w:r>
    </w:p>
    <w:sectPr>
      <w:footerReference w:type="default" r:id="rId8"/>
      <w:footerReference w:type="first" r:id="rId9"/>
      <w:footnotePr>
        <w:numFmt w:val="decimal"/>
        <w:numRestart w:val="continuous"/>
      </w:footnotePr>
      <w:endnotePr>
        <w:numFmt w:val="lowerRoman"/>
      </w:endnotePr>
      <w:type w:val="nextPage"/>
      <w:pgSz w:w="16838" w:h="11906" w:orient="landscape"/>
      <w:pgMar w:top="615" w:right="1134" w:bottom="772" w:left="1134" w:header="709" w:footer="716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Arial">
    <w:panose1 w:val="020B0604020202020204"/>
  </w:font>
  <w:font w:name="Courier New">
    <w:panose1 w:val="02070309020205020404"/>
  </w:font>
  <w:font w:name="Symbol">
    <w:panose1 w:val="05050102010706020507"/>
  </w:font>
  <w:font w:name="Times New Roman">
    <w:panose1 w:val="02020603050405020304"/>
  </w:font>
  <w:font w:name="Wingdings">
    <w:panose1 w:val="05000000000000000000"/>
  </w:font>
  <w:font w:name="Liberation Sans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7"/>
      <w:ind w:right="360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7"/>
    </w:pPr>
    <w:r/>
    <w:r/>
  </w:p>
  <w:p>
    <w:pPr>
      <w:pStyle w:val="907"/>
    </w:pPr>
    <w:r/>
    <w:r/>
  </w:p>
  <w:p>
    <w:pPr>
      <w:pStyle w:val="907"/>
    </w:pPr>
    <w:r/>
    <w:r/>
  </w:p>
  <w:p>
    <w:pPr>
      <w:pStyle w:val="907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7">
    <w:name w:val="Heading 1"/>
    <w:basedOn w:val="861"/>
    <w:next w:val="861"/>
    <w:link w:val="688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88">
    <w:name w:val="Heading 1 Char"/>
    <w:link w:val="687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89">
    <w:name w:val="Heading 2"/>
    <w:basedOn w:val="861"/>
    <w:next w:val="861"/>
    <w:link w:val="690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90">
    <w:name w:val="Heading 2 Char"/>
    <w:link w:val="689"/>
    <w:uiPriority w:val="9"/>
    <w:rPr>
      <w:rFonts w:ascii="Liberation Sans" w:hAnsi="Liberation Sans" w:eastAsia="Liberation Sans" w:cs="Liberation Sans"/>
      <w:sz w:val="34"/>
    </w:rPr>
  </w:style>
  <w:style w:type="paragraph" w:styleId="691">
    <w:name w:val="Heading 3"/>
    <w:basedOn w:val="861"/>
    <w:next w:val="861"/>
    <w:link w:val="692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92">
    <w:name w:val="Heading 3 Char"/>
    <w:link w:val="691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93">
    <w:name w:val="Heading 4"/>
    <w:basedOn w:val="861"/>
    <w:next w:val="861"/>
    <w:link w:val="694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94">
    <w:name w:val="Heading 4 Char"/>
    <w:link w:val="693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95">
    <w:name w:val="Heading 5"/>
    <w:basedOn w:val="861"/>
    <w:next w:val="861"/>
    <w:link w:val="696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96">
    <w:name w:val="Heading 5 Char"/>
    <w:link w:val="695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97">
    <w:name w:val="Heading 6"/>
    <w:basedOn w:val="861"/>
    <w:next w:val="861"/>
    <w:link w:val="698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98">
    <w:name w:val="Heading 6 Char"/>
    <w:link w:val="697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99">
    <w:name w:val="Heading 7"/>
    <w:basedOn w:val="861"/>
    <w:next w:val="861"/>
    <w:link w:val="700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00">
    <w:name w:val="Heading 7 Char"/>
    <w:link w:val="699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01">
    <w:name w:val="Heading 8"/>
    <w:basedOn w:val="861"/>
    <w:next w:val="861"/>
    <w:link w:val="702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02">
    <w:name w:val="Heading 8 Char"/>
    <w:link w:val="701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03">
    <w:name w:val="Heading 9"/>
    <w:basedOn w:val="861"/>
    <w:next w:val="861"/>
    <w:link w:val="704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04">
    <w:name w:val="Heading 9 Char"/>
    <w:link w:val="70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05">
    <w:name w:val="List Paragraph"/>
    <w:basedOn w:val="861"/>
    <w:uiPriority w:val="34"/>
    <w:qFormat/>
    <w:pPr>
      <w:contextualSpacing/>
      <w:ind w:left="720"/>
    </w:pPr>
  </w:style>
  <w:style w:type="paragraph" w:styleId="706">
    <w:name w:val="No Spacing"/>
    <w:uiPriority w:val="1"/>
    <w:qFormat/>
    <w:pPr>
      <w:spacing w:before="0" w:after="0" w:line="240" w:lineRule="auto"/>
    </w:pPr>
  </w:style>
  <w:style w:type="paragraph" w:styleId="707">
    <w:name w:val="Title"/>
    <w:basedOn w:val="861"/>
    <w:next w:val="861"/>
    <w:link w:val="70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8">
    <w:name w:val="Title Char"/>
    <w:link w:val="707"/>
    <w:uiPriority w:val="10"/>
    <w:rPr>
      <w:sz w:val="48"/>
      <w:szCs w:val="48"/>
    </w:rPr>
  </w:style>
  <w:style w:type="character" w:styleId="709">
    <w:name w:val="Subtitle Char"/>
    <w:link w:val="917"/>
    <w:uiPriority w:val="11"/>
    <w:rPr>
      <w:sz w:val="24"/>
      <w:szCs w:val="24"/>
    </w:rPr>
  </w:style>
  <w:style w:type="paragraph" w:styleId="710">
    <w:name w:val="Quote"/>
    <w:basedOn w:val="861"/>
    <w:next w:val="861"/>
    <w:link w:val="711"/>
    <w:uiPriority w:val="29"/>
    <w:qFormat/>
    <w:pPr>
      <w:ind w:left="720" w:right="720"/>
    </w:pPr>
    <w:rPr>
      <w:i/>
    </w:rPr>
  </w:style>
  <w:style w:type="character" w:styleId="711">
    <w:name w:val="Quote Char"/>
    <w:link w:val="710"/>
    <w:uiPriority w:val="29"/>
    <w:rPr>
      <w:i/>
    </w:rPr>
  </w:style>
  <w:style w:type="paragraph" w:styleId="712">
    <w:name w:val="Intense Quote"/>
    <w:basedOn w:val="861"/>
    <w:next w:val="861"/>
    <w:link w:val="71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3">
    <w:name w:val="Intense Quote Char"/>
    <w:link w:val="712"/>
    <w:uiPriority w:val="30"/>
    <w:rPr>
      <w:i/>
    </w:rPr>
  </w:style>
  <w:style w:type="character" w:styleId="714">
    <w:name w:val="Header Char"/>
    <w:link w:val="915"/>
    <w:uiPriority w:val="99"/>
  </w:style>
  <w:style w:type="character" w:styleId="715">
    <w:name w:val="Footer Char"/>
    <w:link w:val="907"/>
    <w:uiPriority w:val="99"/>
  </w:style>
  <w:style w:type="character" w:styleId="716">
    <w:name w:val="Caption Char"/>
    <w:link w:val="895"/>
    <w:uiPriority w:val="35"/>
    <w:rPr>
      <w:b/>
      <w:bCs/>
      <w:color w:val="4f81bd" w:themeColor="accent1"/>
      <w:sz w:val="18"/>
      <w:szCs w:val="18"/>
    </w:rPr>
  </w:style>
  <w:style w:type="table" w:styleId="717">
    <w:name w:val="Table Grid"/>
    <w:basedOn w:val="86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8">
    <w:name w:val="Table Grid Light"/>
    <w:basedOn w:val="86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9">
    <w:name w:val="Plain Table 1"/>
    <w:basedOn w:val="86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0">
    <w:name w:val="Plain Table 2"/>
    <w:basedOn w:val="86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1">
    <w:name w:val="Plain Table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2">
    <w:name w:val="Plain Table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Plain Table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4">
    <w:name w:val="Grid Table 1 Light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4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6">
    <w:name w:val="Grid Table 4 - Accent 1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7">
    <w:name w:val="Grid Table 4 - Accent 2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8">
    <w:name w:val="Grid Table 4 - Accent 3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9">
    <w:name w:val="Grid Table 4 - Accent 4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0">
    <w:name w:val="Grid Table 4 - Accent 5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1">
    <w:name w:val="Grid Table 4 - Accent 6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2">
    <w:name w:val="Grid Table 5 Dark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3">
    <w:name w:val="Grid Table 5 Dark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4">
    <w:name w:val="Grid Table 5 Dark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5">
    <w:name w:val="Grid Table 5 Dark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6">
    <w:name w:val="Grid Table 5 Dark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7">
    <w:name w:val="Grid Table 5 Dark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8">
    <w:name w:val="Grid Table 5 Dark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9">
    <w:name w:val="Grid Table 6 Colorful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60">
    <w:name w:val="Grid Table 6 Colorful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61">
    <w:name w:val="Grid Table 6 Colorful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62">
    <w:name w:val="Grid Table 6 Colorful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63">
    <w:name w:val="Grid Table 6 Colorful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64">
    <w:name w:val="Grid Table 6 Colorful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5">
    <w:name w:val="Grid Table 6 Colorful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6">
    <w:name w:val="Grid Table 7 Colorful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1">
    <w:name w:val="List Table 2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2">
    <w:name w:val="List Table 2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3">
    <w:name w:val="List Table 2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4">
    <w:name w:val="List Table 2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5">
    <w:name w:val="List Table 2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6">
    <w:name w:val="List Table 2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7">
    <w:name w:val="List Table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5 Dark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2">
    <w:name w:val="List Table 5 Dark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3">
    <w:name w:val="List Table 5 Dark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4">
    <w:name w:val="List Table 5 Dark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5">
    <w:name w:val="List Table 5 Dark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6">
    <w:name w:val="List Table 5 Dark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7">
    <w:name w:val="List Table 5 Dark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8">
    <w:name w:val="List Table 6 Colorful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9">
    <w:name w:val="List Table 6 Colorful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0">
    <w:name w:val="List Table 6 Colorful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1">
    <w:name w:val="List Table 6 Colorful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2">
    <w:name w:val="List Table 6 Colorful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3">
    <w:name w:val="List Table 6 Colorful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4">
    <w:name w:val="List Table 6 Colorful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5">
    <w:name w:val="List Table 7 Colorful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16">
    <w:name w:val="List Table 7 Colorful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17">
    <w:name w:val="List Table 7 Colorful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18">
    <w:name w:val="List Table 7 Colorful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19">
    <w:name w:val="List Table 7 Colorful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20">
    <w:name w:val="List Table 7 Colorful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21">
    <w:name w:val="List Table 7 Colorful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22">
    <w:name w:val="Lined - Accent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3">
    <w:name w:val="Lined - Accent 1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4">
    <w:name w:val="Lined - Accent 2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5">
    <w:name w:val="Lined - Accent 3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6">
    <w:name w:val="Lined - Accent 4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7">
    <w:name w:val="Lined - Accent 5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8">
    <w:name w:val="Lined - Accent 6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9">
    <w:name w:val="Bordered &amp; Lined - Accent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0">
    <w:name w:val="Bordered &amp; Lined - Accent 1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1">
    <w:name w:val="Bordered &amp; Lined - Accent 2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2">
    <w:name w:val="Bordered &amp; Lined - Accent 3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3">
    <w:name w:val="Bordered &amp; Lined - Accent 4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4">
    <w:name w:val="Bordered &amp; Lined - Accent 5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5">
    <w:name w:val="Bordered &amp; Lined - Accent 6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6">
    <w:name w:val="Bordered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7">
    <w:name w:val="Bordered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8">
    <w:name w:val="Bordered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9">
    <w:name w:val="Bordered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0">
    <w:name w:val="Bordered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1">
    <w:name w:val="Bordered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2">
    <w:name w:val="Bordered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43">
    <w:name w:val="footnote text"/>
    <w:basedOn w:val="861"/>
    <w:link w:val="844"/>
    <w:uiPriority w:val="99"/>
    <w:semiHidden/>
    <w:unhideWhenUsed/>
    <w:pPr>
      <w:spacing w:after="40" w:line="240" w:lineRule="auto"/>
    </w:pPr>
    <w:rPr>
      <w:sz w:val="18"/>
    </w:rPr>
  </w:style>
  <w:style w:type="character" w:styleId="844">
    <w:name w:val="Footnote Text Char"/>
    <w:link w:val="843"/>
    <w:uiPriority w:val="99"/>
    <w:rPr>
      <w:sz w:val="18"/>
    </w:rPr>
  </w:style>
  <w:style w:type="character" w:styleId="845">
    <w:name w:val="footnote reference"/>
    <w:uiPriority w:val="99"/>
    <w:unhideWhenUsed/>
    <w:rPr>
      <w:vertAlign w:val="superscript"/>
    </w:rPr>
  </w:style>
  <w:style w:type="paragraph" w:styleId="846">
    <w:name w:val="endnote text"/>
    <w:basedOn w:val="861"/>
    <w:link w:val="847"/>
    <w:uiPriority w:val="99"/>
    <w:semiHidden/>
    <w:unhideWhenUsed/>
    <w:pPr>
      <w:spacing w:after="0" w:line="240" w:lineRule="auto"/>
    </w:pPr>
    <w:rPr>
      <w:sz w:val="20"/>
    </w:rPr>
  </w:style>
  <w:style w:type="character" w:styleId="847">
    <w:name w:val="Endnote Text Char"/>
    <w:link w:val="846"/>
    <w:uiPriority w:val="99"/>
    <w:rPr>
      <w:sz w:val="20"/>
    </w:rPr>
  </w:style>
  <w:style w:type="character" w:styleId="848">
    <w:name w:val="endnote reference"/>
    <w:uiPriority w:val="99"/>
    <w:semiHidden/>
    <w:unhideWhenUsed/>
    <w:rPr>
      <w:vertAlign w:val="superscript"/>
    </w:rPr>
  </w:style>
  <w:style w:type="paragraph" w:styleId="849">
    <w:name w:val="toc 1"/>
    <w:basedOn w:val="861"/>
    <w:next w:val="861"/>
    <w:uiPriority w:val="39"/>
    <w:unhideWhenUsed/>
    <w:pPr>
      <w:ind w:left="0" w:right="0" w:firstLine="0"/>
      <w:spacing w:after="57"/>
    </w:pPr>
  </w:style>
  <w:style w:type="paragraph" w:styleId="850">
    <w:name w:val="toc 2"/>
    <w:basedOn w:val="861"/>
    <w:next w:val="861"/>
    <w:uiPriority w:val="39"/>
    <w:unhideWhenUsed/>
    <w:pPr>
      <w:ind w:left="283" w:right="0" w:firstLine="0"/>
      <w:spacing w:after="57"/>
    </w:pPr>
  </w:style>
  <w:style w:type="paragraph" w:styleId="851">
    <w:name w:val="toc 3"/>
    <w:basedOn w:val="861"/>
    <w:next w:val="861"/>
    <w:uiPriority w:val="39"/>
    <w:unhideWhenUsed/>
    <w:pPr>
      <w:ind w:left="567" w:right="0" w:firstLine="0"/>
      <w:spacing w:after="57"/>
    </w:pPr>
  </w:style>
  <w:style w:type="paragraph" w:styleId="852">
    <w:name w:val="toc 4"/>
    <w:basedOn w:val="861"/>
    <w:next w:val="861"/>
    <w:uiPriority w:val="39"/>
    <w:unhideWhenUsed/>
    <w:pPr>
      <w:ind w:left="850" w:right="0" w:firstLine="0"/>
      <w:spacing w:after="57"/>
    </w:pPr>
  </w:style>
  <w:style w:type="paragraph" w:styleId="853">
    <w:name w:val="toc 5"/>
    <w:basedOn w:val="861"/>
    <w:next w:val="861"/>
    <w:uiPriority w:val="39"/>
    <w:unhideWhenUsed/>
    <w:pPr>
      <w:ind w:left="1134" w:right="0" w:firstLine="0"/>
      <w:spacing w:after="57"/>
    </w:pPr>
  </w:style>
  <w:style w:type="paragraph" w:styleId="854">
    <w:name w:val="toc 6"/>
    <w:basedOn w:val="861"/>
    <w:next w:val="861"/>
    <w:uiPriority w:val="39"/>
    <w:unhideWhenUsed/>
    <w:pPr>
      <w:ind w:left="1417" w:right="0" w:firstLine="0"/>
      <w:spacing w:after="57"/>
    </w:pPr>
  </w:style>
  <w:style w:type="paragraph" w:styleId="855">
    <w:name w:val="toc 7"/>
    <w:basedOn w:val="861"/>
    <w:next w:val="861"/>
    <w:uiPriority w:val="39"/>
    <w:unhideWhenUsed/>
    <w:pPr>
      <w:ind w:left="1701" w:right="0" w:firstLine="0"/>
      <w:spacing w:after="57"/>
    </w:pPr>
  </w:style>
  <w:style w:type="paragraph" w:styleId="856">
    <w:name w:val="toc 8"/>
    <w:basedOn w:val="861"/>
    <w:next w:val="861"/>
    <w:uiPriority w:val="39"/>
    <w:unhideWhenUsed/>
    <w:pPr>
      <w:ind w:left="1984" w:right="0" w:firstLine="0"/>
      <w:spacing w:after="57"/>
    </w:pPr>
  </w:style>
  <w:style w:type="paragraph" w:styleId="857">
    <w:name w:val="toc 9"/>
    <w:basedOn w:val="861"/>
    <w:next w:val="861"/>
    <w:uiPriority w:val="39"/>
    <w:unhideWhenUsed/>
    <w:pPr>
      <w:ind w:left="2268" w:right="0" w:firstLine="0"/>
      <w:spacing w:after="57"/>
    </w:pPr>
  </w:style>
  <w:style w:type="paragraph" w:styleId="858">
    <w:name w:val="TOC Heading"/>
    <w:uiPriority w:val="39"/>
    <w:unhideWhenUsed/>
  </w:style>
  <w:style w:type="paragraph" w:styleId="859">
    <w:name w:val="table of figures"/>
    <w:basedOn w:val="861"/>
    <w:next w:val="861"/>
    <w:uiPriority w:val="99"/>
    <w:unhideWhenUsed/>
    <w:pPr>
      <w:spacing w:after="0" w:afterAutospacing="0"/>
    </w:pPr>
  </w:style>
  <w:style w:type="table" w:styleId="860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861" w:default="1">
    <w:name w:val="Normal"/>
    <w:next w:val="861"/>
    <w:link w:val="861"/>
    <w:pPr>
      <w:widowControl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character" w:styleId="862">
    <w:name w:val="WW8Num1z0"/>
    <w:next w:val="862"/>
    <w:link w:val="861"/>
    <w:rPr>
      <w:rFonts w:ascii="Symbol" w:hAnsi="Symbol" w:cs="Symbol"/>
    </w:rPr>
  </w:style>
  <w:style w:type="character" w:styleId="863">
    <w:name w:val="WW8Num1z1"/>
    <w:next w:val="863"/>
    <w:link w:val="861"/>
    <w:rPr>
      <w:rFonts w:ascii="Courier New" w:hAnsi="Courier New" w:cs="Courier New"/>
    </w:rPr>
  </w:style>
  <w:style w:type="character" w:styleId="864">
    <w:name w:val="WW8Num1z2"/>
    <w:next w:val="864"/>
    <w:link w:val="861"/>
    <w:rPr>
      <w:rFonts w:ascii="Wingdings" w:hAnsi="Wingdings" w:cs="Wingdings"/>
    </w:rPr>
  </w:style>
  <w:style w:type="character" w:styleId="865">
    <w:name w:val="WW8Num2z0"/>
    <w:next w:val="865"/>
    <w:link w:val="861"/>
    <w:rPr>
      <w:rFonts w:ascii="Symbol" w:hAnsi="Symbol" w:cs="Symbol"/>
    </w:rPr>
  </w:style>
  <w:style w:type="character" w:styleId="866">
    <w:name w:val="WW8Num2z1"/>
    <w:next w:val="866"/>
    <w:link w:val="861"/>
    <w:rPr>
      <w:rFonts w:ascii="Courier New" w:hAnsi="Courier New" w:cs="Courier New"/>
    </w:rPr>
  </w:style>
  <w:style w:type="character" w:styleId="867">
    <w:name w:val="WW8Num2z2"/>
    <w:next w:val="867"/>
    <w:link w:val="861"/>
    <w:rPr>
      <w:rFonts w:ascii="Wingdings" w:hAnsi="Wingdings" w:cs="Wingdings"/>
    </w:rPr>
  </w:style>
  <w:style w:type="character" w:styleId="868">
    <w:name w:val="WW8Num3z0"/>
    <w:next w:val="868"/>
    <w:link w:val="861"/>
    <w:rPr>
      <w:rFonts w:ascii="Symbol" w:hAnsi="Symbol" w:cs="Symbol"/>
    </w:rPr>
  </w:style>
  <w:style w:type="character" w:styleId="869">
    <w:name w:val="WW8Num3z1"/>
    <w:next w:val="869"/>
    <w:link w:val="861"/>
    <w:rPr>
      <w:rFonts w:ascii="Courier New" w:hAnsi="Courier New" w:cs="Courier New"/>
    </w:rPr>
  </w:style>
  <w:style w:type="character" w:styleId="870">
    <w:name w:val="WW8Num3z2"/>
    <w:next w:val="870"/>
    <w:link w:val="861"/>
    <w:rPr>
      <w:rFonts w:ascii="Wingdings" w:hAnsi="Wingdings" w:cs="Wingdings"/>
    </w:rPr>
  </w:style>
  <w:style w:type="character" w:styleId="871">
    <w:name w:val="WW8Num4z0"/>
    <w:next w:val="871"/>
    <w:link w:val="861"/>
    <w:rPr>
      <w:rFonts w:ascii="Symbol" w:hAnsi="Symbol" w:cs="Symbol"/>
    </w:rPr>
  </w:style>
  <w:style w:type="character" w:styleId="872">
    <w:name w:val="WW8Num4z1"/>
    <w:next w:val="872"/>
    <w:link w:val="861"/>
    <w:rPr>
      <w:rFonts w:ascii="Courier New" w:hAnsi="Courier New" w:cs="Courier New"/>
    </w:rPr>
  </w:style>
  <w:style w:type="character" w:styleId="873">
    <w:name w:val="WW8Num4z2"/>
    <w:next w:val="873"/>
    <w:link w:val="861"/>
    <w:rPr>
      <w:rFonts w:ascii="Wingdings" w:hAnsi="Wingdings" w:cs="Wingdings"/>
    </w:rPr>
  </w:style>
  <w:style w:type="character" w:styleId="874">
    <w:name w:val="WW8Num5z0"/>
    <w:next w:val="874"/>
    <w:link w:val="861"/>
    <w:rPr>
      <w:rFonts w:ascii="Symbol" w:hAnsi="Symbol" w:cs="Symbol"/>
    </w:rPr>
  </w:style>
  <w:style w:type="character" w:styleId="875">
    <w:name w:val="WW8Num5z1"/>
    <w:next w:val="875"/>
    <w:link w:val="861"/>
    <w:rPr>
      <w:rFonts w:ascii="Courier New" w:hAnsi="Courier New" w:cs="Courier New"/>
    </w:rPr>
  </w:style>
  <w:style w:type="character" w:styleId="876">
    <w:name w:val="WW8Num5z2"/>
    <w:next w:val="876"/>
    <w:link w:val="861"/>
    <w:rPr>
      <w:rFonts w:ascii="Wingdings" w:hAnsi="Wingdings" w:cs="Wingdings"/>
    </w:rPr>
  </w:style>
  <w:style w:type="character" w:styleId="877">
    <w:name w:val="WW8Num6z0"/>
    <w:next w:val="877"/>
    <w:link w:val="861"/>
    <w:rPr>
      <w:rFonts w:ascii="Symbol" w:hAnsi="Symbol" w:cs="Symbol"/>
    </w:rPr>
  </w:style>
  <w:style w:type="character" w:styleId="878">
    <w:name w:val="WW8Num6z1"/>
    <w:next w:val="878"/>
    <w:link w:val="861"/>
    <w:rPr>
      <w:rFonts w:ascii="Courier New" w:hAnsi="Courier New" w:cs="Courier New"/>
    </w:rPr>
  </w:style>
  <w:style w:type="character" w:styleId="879">
    <w:name w:val="WW8Num6z2"/>
    <w:next w:val="879"/>
    <w:link w:val="861"/>
    <w:rPr>
      <w:rFonts w:ascii="Wingdings" w:hAnsi="Wingdings" w:cs="Wingdings"/>
    </w:rPr>
  </w:style>
  <w:style w:type="character" w:styleId="880">
    <w:name w:val="WW8Num7z0"/>
    <w:next w:val="880"/>
    <w:link w:val="861"/>
  </w:style>
  <w:style w:type="character" w:styleId="881">
    <w:name w:val="Основной шрифт абзаца"/>
    <w:next w:val="881"/>
    <w:link w:val="861"/>
  </w:style>
  <w:style w:type="character" w:styleId="882">
    <w:name w:val="Нижний колонтитул Знак"/>
    <w:next w:val="882"/>
    <w:link w:val="861"/>
    <w:rPr>
      <w:rFonts w:ascii="Times New Roman" w:hAnsi="Times New Roman" w:eastAsia="Times New Roman" w:cs="Times New Roman"/>
      <w:sz w:val="24"/>
      <w:szCs w:val="24"/>
    </w:rPr>
  </w:style>
  <w:style w:type="character" w:styleId="883">
    <w:name w:val="Page Number"/>
    <w:basedOn w:val="881"/>
    <w:next w:val="883"/>
    <w:link w:val="861"/>
  </w:style>
  <w:style w:type="character" w:styleId="884">
    <w:name w:val="Основной текст с отступом Знак"/>
    <w:next w:val="884"/>
    <w:link w:val="861"/>
    <w:rPr>
      <w:rFonts w:ascii="Times New Roman" w:hAnsi="Times New Roman" w:eastAsia="Times New Roman" w:cs="Times New Roman"/>
      <w:sz w:val="24"/>
      <w:szCs w:val="24"/>
    </w:rPr>
  </w:style>
  <w:style w:type="character" w:styleId="885">
    <w:name w:val="ConsPlusNormal Знак"/>
    <w:next w:val="885"/>
    <w:link w:val="861"/>
    <w:rPr>
      <w:rFonts w:ascii="Arial" w:hAnsi="Arial" w:eastAsia="Times New Roman" w:cs="Arial"/>
      <w:lang w:val="ru-RU" w:bidi="ar-SA"/>
    </w:rPr>
  </w:style>
  <w:style w:type="character" w:styleId="886">
    <w:name w:val="Основной текст 2 Знак"/>
    <w:next w:val="886"/>
    <w:link w:val="861"/>
    <w:rPr>
      <w:rFonts w:ascii="Times New Roman" w:hAnsi="Times New Roman" w:eastAsia="Times New Roman" w:cs="Times New Roman"/>
      <w:sz w:val="24"/>
      <w:szCs w:val="24"/>
    </w:rPr>
  </w:style>
  <w:style w:type="character" w:styleId="887">
    <w:name w:val="Верхний колонтитул Знак"/>
    <w:next w:val="887"/>
    <w:link w:val="861"/>
    <w:rPr>
      <w:rFonts w:ascii="Times New Roman" w:hAnsi="Times New Roman" w:eastAsia="Times New Roman" w:cs="Times New Roman"/>
      <w:sz w:val="24"/>
      <w:szCs w:val="24"/>
    </w:rPr>
  </w:style>
  <w:style w:type="character" w:styleId="888">
    <w:name w:val="Название Знак"/>
    <w:basedOn w:val="881"/>
    <w:next w:val="888"/>
    <w:link w:val="861"/>
    <w:rPr>
      <w:rFonts w:ascii="Times New Roman" w:hAnsi="Times New Roman" w:eastAsia="Times New Roman" w:cs="Times New Roman"/>
      <w:sz w:val="32"/>
    </w:rPr>
  </w:style>
  <w:style w:type="character" w:styleId="889">
    <w:name w:val="Подзаголовок Знак"/>
    <w:basedOn w:val="881"/>
    <w:next w:val="889"/>
    <w:link w:val="861"/>
    <w:rPr>
      <w:rFonts w:ascii="Times New Roman" w:hAnsi="Times New Roman" w:eastAsia="Times New Roman" w:cs="Times New Roman"/>
      <w:b/>
      <w:bCs/>
      <w:sz w:val="36"/>
      <w:szCs w:val="24"/>
    </w:rPr>
  </w:style>
  <w:style w:type="character" w:styleId="890">
    <w:name w:val="Hyperlink"/>
    <w:basedOn w:val="881"/>
    <w:next w:val="890"/>
    <w:link w:val="861"/>
    <w:rPr>
      <w:color w:val="0000ff"/>
      <w:u w:val="single"/>
    </w:rPr>
  </w:style>
  <w:style w:type="character" w:styleId="891">
    <w:name w:val="Обычный (веб) Знак"/>
    <w:basedOn w:val="881"/>
    <w:next w:val="891"/>
    <w:link w:val="861"/>
    <w:rPr>
      <w:rFonts w:ascii="Times New Roman" w:hAnsi="Times New Roman" w:eastAsia="Times New Roman" w:cs="Times New Roman"/>
      <w:sz w:val="24"/>
      <w:szCs w:val="24"/>
    </w:rPr>
  </w:style>
  <w:style w:type="paragraph" w:styleId="892">
    <w:name w:val="Заголовок"/>
    <w:basedOn w:val="861"/>
    <w:next w:val="893"/>
    <w:link w:val="861"/>
    <w:pPr>
      <w:jc w:val="center"/>
    </w:pPr>
    <w:rPr>
      <w:sz w:val="32"/>
      <w:szCs w:val="20"/>
    </w:rPr>
  </w:style>
  <w:style w:type="paragraph" w:styleId="893">
    <w:name w:val="Body Text"/>
    <w:basedOn w:val="861"/>
    <w:next w:val="893"/>
    <w:link w:val="861"/>
    <w:pPr>
      <w:spacing w:before="0" w:after="140" w:line="276" w:lineRule="auto"/>
    </w:pPr>
  </w:style>
  <w:style w:type="paragraph" w:styleId="894">
    <w:name w:val="List"/>
    <w:basedOn w:val="893"/>
    <w:next w:val="894"/>
    <w:link w:val="861"/>
    <w:rPr>
      <w:rFonts w:cs="Arial"/>
    </w:rPr>
  </w:style>
  <w:style w:type="paragraph" w:styleId="895">
    <w:name w:val="Caption"/>
    <w:basedOn w:val="861"/>
    <w:next w:val="895"/>
    <w:link w:val="861"/>
    <w:pPr>
      <w:spacing w:before="120" w:after="120"/>
      <w:suppressLineNumbers/>
    </w:pPr>
    <w:rPr>
      <w:rFonts w:cs="Arial"/>
      <w:i/>
      <w:iCs/>
      <w:sz w:val="24"/>
      <w:szCs w:val="24"/>
    </w:rPr>
  </w:style>
  <w:style w:type="paragraph" w:styleId="896">
    <w:name w:val="Указатель"/>
    <w:basedOn w:val="861"/>
    <w:next w:val="896"/>
    <w:link w:val="861"/>
    <w:pPr>
      <w:suppressLineNumbers/>
    </w:pPr>
    <w:rPr>
      <w:rFonts w:cs="Arial"/>
    </w:rPr>
  </w:style>
  <w:style w:type="paragraph" w:styleId="897">
    <w:name w:val="Caption1"/>
    <w:basedOn w:val="861"/>
    <w:next w:val="897"/>
    <w:link w:val="861"/>
    <w:pPr>
      <w:spacing w:before="120" w:after="120"/>
      <w:suppressLineNumbers/>
    </w:pPr>
    <w:rPr>
      <w:rFonts w:cs="Arial"/>
      <w:i/>
      <w:iCs/>
      <w:sz w:val="24"/>
      <w:szCs w:val="24"/>
    </w:rPr>
  </w:style>
  <w:style w:type="paragraph" w:styleId="898">
    <w:name w:val="Caption11"/>
    <w:basedOn w:val="861"/>
    <w:next w:val="898"/>
    <w:link w:val="861"/>
    <w:pPr>
      <w:spacing w:before="120" w:after="120"/>
      <w:suppressLineNumbers/>
    </w:pPr>
    <w:rPr>
      <w:rFonts w:cs="Arial"/>
      <w:i/>
      <w:iCs/>
      <w:sz w:val="24"/>
      <w:szCs w:val="24"/>
    </w:rPr>
  </w:style>
  <w:style w:type="paragraph" w:styleId="899">
    <w:name w:val="Caption111"/>
    <w:basedOn w:val="861"/>
    <w:next w:val="899"/>
    <w:link w:val="861"/>
    <w:pPr>
      <w:spacing w:before="120" w:after="120"/>
      <w:suppressLineNumbers/>
    </w:pPr>
    <w:rPr>
      <w:rFonts w:cs="Arial"/>
      <w:i/>
      <w:iCs/>
      <w:sz w:val="24"/>
      <w:szCs w:val="24"/>
    </w:rPr>
  </w:style>
  <w:style w:type="paragraph" w:styleId="900">
    <w:name w:val="Caption1111"/>
    <w:basedOn w:val="861"/>
    <w:next w:val="900"/>
    <w:link w:val="861"/>
    <w:pPr>
      <w:spacing w:before="120" w:after="120"/>
      <w:suppressLineNumbers/>
    </w:pPr>
    <w:rPr>
      <w:rFonts w:cs="Arial"/>
      <w:i/>
      <w:iCs/>
      <w:sz w:val="24"/>
      <w:szCs w:val="24"/>
    </w:rPr>
  </w:style>
  <w:style w:type="paragraph" w:styleId="901">
    <w:name w:val="Caption11111"/>
    <w:basedOn w:val="861"/>
    <w:next w:val="901"/>
    <w:link w:val="861"/>
    <w:pPr>
      <w:spacing w:before="120" w:after="120"/>
      <w:suppressLineNumbers/>
    </w:pPr>
    <w:rPr>
      <w:rFonts w:cs="Arial"/>
      <w:i/>
      <w:iCs/>
      <w:sz w:val="24"/>
      <w:szCs w:val="24"/>
    </w:rPr>
  </w:style>
  <w:style w:type="paragraph" w:styleId="902">
    <w:name w:val="Caption111111"/>
    <w:basedOn w:val="861"/>
    <w:next w:val="902"/>
    <w:link w:val="861"/>
    <w:pPr>
      <w:spacing w:before="120" w:after="120"/>
      <w:suppressLineNumbers/>
    </w:pPr>
    <w:rPr>
      <w:rFonts w:cs="Arial"/>
      <w:i/>
      <w:iCs/>
      <w:sz w:val="24"/>
      <w:szCs w:val="24"/>
    </w:rPr>
  </w:style>
  <w:style w:type="paragraph" w:styleId="903">
    <w:name w:val="Caption1111111"/>
    <w:basedOn w:val="861"/>
    <w:next w:val="903"/>
    <w:link w:val="861"/>
    <w:pPr>
      <w:spacing w:before="120" w:after="120"/>
      <w:suppressLineNumbers/>
    </w:pPr>
    <w:rPr>
      <w:rFonts w:cs="Arial"/>
      <w:i/>
      <w:iCs/>
      <w:sz w:val="24"/>
      <w:szCs w:val="24"/>
    </w:rPr>
  </w:style>
  <w:style w:type="paragraph" w:styleId="904">
    <w:name w:val="Caption11111111"/>
    <w:basedOn w:val="861"/>
    <w:next w:val="904"/>
    <w:link w:val="861"/>
    <w:pPr>
      <w:spacing w:before="120" w:after="120"/>
      <w:suppressLineNumbers/>
    </w:pPr>
    <w:rPr>
      <w:rFonts w:cs="Arial"/>
      <w:i/>
      <w:iCs/>
      <w:sz w:val="24"/>
      <w:szCs w:val="24"/>
    </w:rPr>
  </w:style>
  <w:style w:type="paragraph" w:styleId="905">
    <w:name w:val="Caption111111111"/>
    <w:basedOn w:val="861"/>
    <w:next w:val="905"/>
    <w:link w:val="861"/>
    <w:pPr>
      <w:spacing w:before="120" w:after="120"/>
      <w:suppressLineNumbers/>
    </w:pPr>
    <w:rPr>
      <w:rFonts w:cs="Arial"/>
      <w:i/>
      <w:iCs/>
      <w:sz w:val="24"/>
      <w:szCs w:val="24"/>
    </w:rPr>
  </w:style>
  <w:style w:type="paragraph" w:styleId="906">
    <w:name w:val="Колонтитул"/>
    <w:basedOn w:val="861"/>
    <w:next w:val="906"/>
    <w:link w:val="861"/>
    <w:pPr>
      <w:tabs>
        <w:tab w:val="center" w:pos="4819" w:leader="none"/>
        <w:tab w:val="right" w:pos="9638" w:leader="none"/>
      </w:tabs>
      <w:suppressLineNumbers/>
    </w:pPr>
  </w:style>
  <w:style w:type="paragraph" w:styleId="907">
    <w:name w:val="Footer"/>
    <w:basedOn w:val="861"/>
    <w:next w:val="907"/>
    <w:link w:val="861"/>
    <w:rPr>
      <w:lang w:val="en-US"/>
    </w:rPr>
  </w:style>
  <w:style w:type="paragraph" w:styleId="908">
    <w:name w:val="Без интервала"/>
    <w:next w:val="908"/>
    <w:link w:val="861"/>
    <w:pPr>
      <w:widowControl w:val="off"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paragraph" w:styleId="909">
    <w:name w:val="Body Text Indent"/>
    <w:basedOn w:val="861"/>
    <w:next w:val="909"/>
    <w:link w:val="861"/>
    <w:pPr>
      <w:ind w:left="-180" w:right="0" w:firstLine="0"/>
      <w:jc w:val="both"/>
    </w:pPr>
    <w:rPr>
      <w:lang w:val="en-US"/>
    </w:rPr>
  </w:style>
  <w:style w:type="paragraph" w:styleId="910">
    <w:name w:val="ConsPlusNormal"/>
    <w:next w:val="910"/>
    <w:link w:val="861"/>
    <w:pPr>
      <w:widowControl w:val="off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911">
    <w:name w:val="ConsPlusCell"/>
    <w:next w:val="911"/>
    <w:link w:val="861"/>
    <w:pPr>
      <w:widowControl w:val="off"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912">
    <w:name w:val="ConsPlusNonformat"/>
    <w:next w:val="912"/>
    <w:link w:val="861"/>
    <w:pPr>
      <w:widowControl w:val="off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913">
    <w:name w:val="Абзац списка"/>
    <w:basedOn w:val="861"/>
    <w:next w:val="913"/>
    <w:link w:val="861"/>
    <w:pPr>
      <w:contextualSpacing/>
      <w:ind w:left="720" w:right="0" w:firstLine="0"/>
      <w:spacing w:before="0" w:after="0"/>
    </w:pPr>
    <w:rPr>
      <w:sz w:val="20"/>
      <w:szCs w:val="20"/>
    </w:rPr>
  </w:style>
  <w:style w:type="paragraph" w:styleId="914">
    <w:name w:val="Основной текст 2"/>
    <w:basedOn w:val="861"/>
    <w:next w:val="914"/>
    <w:link w:val="861"/>
    <w:pPr>
      <w:spacing w:before="0" w:after="120" w:line="480" w:lineRule="auto"/>
    </w:pPr>
    <w:rPr>
      <w:lang w:val="en-US"/>
    </w:rPr>
  </w:style>
  <w:style w:type="paragraph" w:styleId="915">
    <w:name w:val="Header"/>
    <w:basedOn w:val="861"/>
    <w:next w:val="915"/>
    <w:link w:val="861"/>
    <w:pPr>
      <w:tabs>
        <w:tab w:val="center" w:pos="4677" w:leader="none"/>
        <w:tab w:val="right" w:pos="9355" w:leader="none"/>
      </w:tabs>
    </w:pPr>
    <w:rPr>
      <w:lang w:val="en-US"/>
    </w:rPr>
  </w:style>
  <w:style w:type="paragraph" w:styleId="916">
    <w:name w:val="Обычный (веб)"/>
    <w:basedOn w:val="861"/>
    <w:next w:val="916"/>
    <w:link w:val="861"/>
    <w:pPr>
      <w:spacing w:before="280" w:after="280"/>
    </w:pPr>
  </w:style>
  <w:style w:type="paragraph" w:styleId="917">
    <w:name w:val="Subtitle"/>
    <w:basedOn w:val="861"/>
    <w:next w:val="893"/>
    <w:link w:val="861"/>
    <w:pPr>
      <w:ind w:left="2124" w:right="0" w:firstLine="0"/>
    </w:pPr>
    <w:rPr>
      <w:b/>
      <w:bCs/>
      <w:sz w:val="36"/>
    </w:rPr>
  </w:style>
  <w:style w:type="paragraph" w:styleId="918">
    <w:name w:val="Содержимое таблицы"/>
    <w:basedOn w:val="861"/>
    <w:next w:val="918"/>
    <w:link w:val="861"/>
    <w:pPr>
      <w:widowControl w:val="off"/>
      <w:suppressLineNumbers/>
    </w:pPr>
  </w:style>
  <w:style w:type="paragraph" w:styleId="919">
    <w:name w:val="Заголовок таблицы"/>
    <w:basedOn w:val="918"/>
    <w:next w:val="919"/>
    <w:link w:val="861"/>
    <w:pPr>
      <w:jc w:val="center"/>
      <w:suppressLineNumbers/>
    </w:pPr>
    <w:rPr>
      <w:b/>
      <w:bCs/>
    </w:rPr>
  </w:style>
  <w:style w:type="character" w:styleId="920" w:default="1">
    <w:name w:val="Default Paragraph Font"/>
    <w:uiPriority w:val="1"/>
    <w:semiHidden/>
    <w:unhideWhenUsed/>
  </w:style>
  <w:style w:type="numbering" w:styleId="921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sidorenkova_em</dc:creator>
  <cp:lastModifiedBy>user</cp:lastModifiedBy>
  <cp:revision>16</cp:revision>
  <dcterms:created xsi:type="dcterms:W3CDTF">2023-07-18T14:22:00Z</dcterms:created>
  <dcterms:modified xsi:type="dcterms:W3CDTF">2026-07-10T08:27:32Z</dcterms:modified>
</cp:coreProperties>
</file>